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5d697c4211e340c4"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37822</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KRAPINSKO-ZAGORSKA ŽUPANIJA</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23</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177.789.430,04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190.745.110,89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107,3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151.136.737,46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170.883.888,33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26.652.692,58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19.861.222,56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74,5</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26.067,19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64.291,50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246,6</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9.903.403,19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33.386.887,73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337,1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9.877.336,00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33.322.596,23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337,4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1.330.334,38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77.221,93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4.525.946,31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1.910.513,77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PRIMITAKA OD FINANCIJSKE IMOVINE I ZADUŽIVANJA (šifre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3.195.611,93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1.833.291,84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57,4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15.294.665,51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Ukupni prihodi poslovanja (šifra 6) u tekućem razdoblju bilježe porast od 7,3% zbog povećanja poreznih prihoda kod KZŽ, a kod osnovnih i srednjih škola značajan je porast prihoda od Ministarstva znanosti, obrazovanja i mladih za plaće, prijevoz i materijalna prava zaposlenih što je u skladu s povećanjem osnovice za plaće. Također, u tekućem razdoblju započeti su mnogi projekti u sklopu Nacionalnog plana oporavka i otpornosti te su u tijeku sanacije i obnove škola i bolnica zbog čega je došlo i do povećanja prihoda temeljem prijenosa EU sredstava. Ukupni rashodi poslovanja (šifra 3) u tekućem razdoblju bilježe povećanje od 13,1%, što je u skladu s povećanjem osnovice za plaće kod KZŽ i proračunskih korisnika te su sukladno tome povećani troškovi za zaposlene.</w:t>
      </w:r>
    </w:p>
    <w:p>
      <w:r>
        <w:t xml:space="preserve">Ukupni prihodi od prodaje nefinancijske imovine (šifra 7) ostvareni su u iznosu od 64.291,50 eur. Ukupni rashodi za nabavu nefinancijske imovine (šifra 4) bilježe povećanje od 237,10% zbog započetih projekata izgradnje, dogradnje i sanacije škola u sklopu Nacionalnog plana oporavka i otpornosti. SB Stubičke toplice bilježi porast troškova zbog izgradnje lječilišta i bazena, SB Krapinske toplice bilježi porast troškova zbog sanacije bolnice, KZŽ bilježi porast troškova zbog dodatnih ulaganja na građevinskim objektima te ulaganja u računalne programe zbog uvođenja jedinstvenog računa proračuna i pune riznice.</w:t>
      </w:r>
    </w:p>
    <w:p>
      <w:r>
        <w:t xml:space="preserve">Ukupni primici od financijske imovine i zaduživanja (šifra 8) iznose 77.221,93 eur. Ukupni izdaci za financijsku imovinu i otplate zajmova (šifra 5) iznose 1.910.513,77 eur. U tekućem razdoblju navedeni primici i izdaci bilježe smanjenje jer nije bilo dodatnih zaduživanja županije i proračunskih korisnika.</w:t>
      </w:r>
    </w:p>
    <w:p>
      <w:r>
        <w:t xml:space="preserve">Slijedom svega navedenog u tekućem razdoblju ostvaren je manjak prihoda i primitaka u iznosu od 15.294.665,61 eur. Razlog manjka je realizacija velikih kapitalnih projekata, dok prihodi za navedeno nisu evidentirani nego su sukladno Pravilniku o proračunskom računovodstvu i računskom planu, sredstva knjižena na kontu 27 EU predujmovi budući da se predujam prenosi na prihod u trenutku odobrenja ZNS-a što je u ovom slučaju u 2026. godini. Također, proračunski korisnici su sukladno novom Pravilniku trebali knjižiti plaću, prijevoz i materijalna prava te režijske troškove za 12/2025 u 2025. godinu, dok će prihode za isto ostvariti u tekućoj godini.</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Stalni porezi na nepokretnu imovinu (zemlju, zgrade, kuće i ostalo)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124.881,89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Odnosi se na KZŽ - zakonska obveza plaćanja poreza na nekretnine stupila je na snagu u 2025. godini, stoga prethodna godina nema realizaciju.</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od međunarodnih organizacija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izvještajnom razdoblju prethodne godine kod KZŽ završen projekt Poticanje kulture lokalnih savjeta mladih.</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od institucija i tijela EU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571.813,66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63.312,84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11,1</w:t>
            </w:r>
          </w:p>
        </w:tc>
      </w:tr>
    </w:tbl>
    <w:p>
      <w:pPr>
        <w:spacing w:before="0" w:after="0"/>
      </w:pPr>
    </w:p>
    <w:p>
      <w:r>
        <w:t xml:space="preserve">Smanjenje kod KZŽzbog završetka projekta CRO-SI-SAFE.</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1.226.928,79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16.367,00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w:t>
            </w:r>
          </w:p>
        </w:tc>
      </w:tr>
    </w:tbl>
    <w:p>
      <w:pPr>
        <w:spacing w:before="0" w:after="0"/>
      </w:pPr>
    </w:p>
    <w:p>
      <w:r>
        <w:t xml:space="preserve">Smanjenje u tekućem razdoblju kod KZŽ zbog završetka projekta izgradnje sportske dvorane SŠ Zabok te obnove i rekonstrukcije škola.</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od izvanproračunskih korisnika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553.688,94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Smanjenje se odnosi na KZŽ jer u tekućem razdoblju nije bilo uplate  Hrvatskih voda za sanaciju klizišta na cestama.</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fiskalnog izravnanja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220.208,93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Odnosi se na KZŽ - prethodna godina nema realizaciju zbog promjena knjiženja sukladno novom Pravilniku o proračunskom računovodstvu i računskom planu, koji je u primjeni od 1.1.2025.</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proračunskim korisnicima iz proračuna koji im nije nadležan</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1.472.460,96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496.897,61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33,7</w:t>
            </w:r>
          </w:p>
        </w:tc>
      </w:tr>
    </w:tbl>
    <w:p>
      <w:pPr>
        <w:spacing w:before="0" w:after="0"/>
      </w:pPr>
    </w:p>
    <w:p>
      <w:r>
        <w:t xml:space="preserve">Smanjenje kod SB Krapinske Toplice u 2024. - u prethodnom razdoblju na ovoj poziciji je evidentiran prihod od strane Ministarstva zdravstva u ukupnom iznosu 1.240.023,43 eur, od čega se iznos od 726.270,96 eur odnosi na predujam temeljem Ugovora o bespovratnim sredstvima te prihod od Fonda za zaštitu okoliša i energetske učinkovitosti u iznosu 29.008,12 eur.</w:t>
      </w:r>
      <w:r>
        <w:br/>
      </w:r>
      <w:r>
        <w:t xml:space="preserve"> </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Kamate na oročena sredstva i depozite po viđenju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43.033,12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144.007,16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334,6</w:t>
            </w:r>
          </w:p>
        </w:tc>
      </w:tr>
    </w:tbl>
    <w:p>
      <w:pPr>
        <w:spacing w:before="0" w:after="0"/>
      </w:pPr>
    </w:p>
    <w:p>
      <w:r>
        <w:t xml:space="preserve">Povećanje kod KZŽ (117.919,73 eur) zbog oročenja znatnih sredstava  u banci.</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pozitivnih tečajnih razlika i razlika zbog primjene valutne klauzule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Korisnika SB Stubičke toplice, u tekućem razdoblju nije bilo prihoda s navedene osnove.</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prihodi od 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200.008,56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100.032,72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50,0</w:t>
            </w:r>
          </w:p>
        </w:tc>
      </w:tr>
    </w:tbl>
    <w:p>
      <w:pPr>
        <w:spacing w:before="0" w:after="0"/>
      </w:pPr>
    </w:p>
    <w:p>
      <w:r>
        <w:t xml:space="preserve">U tekućem razdoblju smanjenje kod KZŽ za 100.000,00 eura zbog manje uplate viška Ljekarne KZŽ po odluci.</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Naknada za korištenje nefinancijske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6423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103.818,98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189.018,10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182,1</w:t>
            </w:r>
          </w:p>
        </w:tc>
      </w:tr>
    </w:tbl>
    <w:p>
      <w:pPr>
        <w:spacing w:before="0" w:after="0"/>
      </w:pPr>
    </w:p>
    <w:p>
      <w:r>
        <w:t xml:space="preserve">Odnosi se na KZŽ - naknade za iskop mineralnih sirovina.</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Subvencije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64.531,20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203.549,00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315,4</w:t>
            </w:r>
          </w:p>
        </w:tc>
      </w:tr>
    </w:tbl>
    <w:p>
      <w:pPr>
        <w:spacing w:before="0" w:after="0"/>
      </w:pPr>
    </w:p>
    <w:p>
      <w:r>
        <w:t xml:space="preserve">Bilježi se značajnije povećanje kod KZŽ zbog isplaćenih potpora za digitalnu i inovativnu tranziciju poduzetnika na području KZŽ (109.646,86)</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Subvencije trgovačkim društvima, zadrugama, poljoprivrednicima i obrtnicima iz EU sredstava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58.917,18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KZŽ i troškove projekta Hypokrat, koji je u prethodnom razdoblju završen zbog čega u tekućem razdoblju nema realizacije.</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inozemnim vladama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268.692,12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w:t>
            </w:r>
          </w:p>
        </w:tc>
      </w:tr>
    </w:tbl>
    <w:p>
      <w:pPr>
        <w:spacing w:before="0" w:after="0"/>
      </w:pPr>
    </w:p>
    <w:p>
      <w:r>
        <w:t xml:space="preserve">Značajno smanjenje kod korisnika Zagorska razvojna agencija (189.462,79) zbog završetka projekta CRO-SI-SAFE u prethodnom razdoblju. Kod korisnika SŠ Zabok i OŠ Budinšćina nema realizacije u tekućem razdoblju zbog završetka projekata.</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drugom proračunu i izvanproračunskim korisnicima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395.698,35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722.183,59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182,5</w:t>
            </w:r>
          </w:p>
        </w:tc>
      </w:tr>
    </w:tbl>
    <w:p>
      <w:pPr>
        <w:spacing w:before="0" w:after="0"/>
      </w:pPr>
    </w:p>
    <w:p>
      <w:r>
        <w:t xml:space="preserve">Povećanje se odnosi na KZŽ i sufinanciranje 50% iznosa za radne bilježnice te za sufinanciranje javnolinijskog prijevoza putnika.</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drugom proračunu i izvanproračunskim korisnicima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1.167.893,77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634.875,21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54,4</w:t>
            </w:r>
          </w:p>
        </w:tc>
      </w:tr>
    </w:tbl>
    <w:p>
      <w:pPr>
        <w:spacing w:before="0" w:after="0"/>
      </w:pPr>
    </w:p>
    <w:p>
      <w:r>
        <w:t xml:space="preserve">Odnosi se na KZŽ - značajno smanjenje jer u tekućem razdoblju nije bilo isplata prema Županijskoj upravi za ceste radi sanacije klizišta.</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54.324,61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100.503,60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185,0</w:t>
            </w:r>
          </w:p>
        </w:tc>
      </w:tr>
    </w:tbl>
    <w:p>
      <w:pPr>
        <w:spacing w:before="0" w:after="0"/>
      </w:pPr>
    </w:p>
    <w:p>
      <w:r>
        <w:t xml:space="preserve">Povećanje se odnosi na KZŽ i doznačena sredstva Veleučilištu Hrvatsko-zagorje Krapina.</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proračunskim korisnicima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41.881,85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169.294,62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404,2</w:t>
            </w:r>
          </w:p>
        </w:tc>
      </w:tr>
    </w:tbl>
    <w:p>
      <w:pPr>
        <w:spacing w:before="0" w:after="0"/>
      </w:pPr>
    </w:p>
    <w:p>
      <w:r>
        <w:t xml:space="preserve">Odnosi se na KZŽ - tekućem razdoblju bilježi se povećanje zbog doznačenih sredstava za nabavu opreme Općoj bolnici Zabok.</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109.006,76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1.908,00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w:t>
            </w:r>
          </w:p>
        </w:tc>
      </w:tr>
    </w:tbl>
    <w:p>
      <w:pPr>
        <w:spacing w:before="0" w:after="0"/>
      </w:pPr>
    </w:p>
    <w:p>
      <w:r>
        <w:t xml:space="preserve">Smanjenje se odnosi na SŠ Zabok i završetak projekata.</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193.778,14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KZŽ - u prethodnom razdoblju doznačena sredstva za sanaciju klizišta i projekt Hypokrat, u tekućem razdoblju nema realizacije jer su navedeni projekti završeni.</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u novcu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1.928.986,68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2.839.409,89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147,2</w:t>
            </w:r>
          </w:p>
        </w:tc>
      </w:tr>
    </w:tbl>
    <w:p>
      <w:pPr>
        <w:spacing w:before="0" w:after="0"/>
      </w:pPr>
    </w:p>
    <w:p>
      <w:r>
        <w:t xml:space="preserve">Povećanje kod KZŽ - donacije TZ KZŽ, društvima Naša djeca, sportskoj zajednici KZŽ i sl.</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iz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40.821,12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Nema realizacije kod KZŽ jer su u prethodnom razdoblju doznačena sredstva REGEA- i za projekt Hypokrat (12.347,80). SŠ Zabok u prethodnom razdoblju završila projekt (21.221,18).</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donacije neprofitnim organizacijama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89.057,98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133.690,86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150,1</w:t>
            </w:r>
          </w:p>
        </w:tc>
      </w:tr>
    </w:tbl>
    <w:p>
      <w:pPr>
        <w:spacing w:before="0" w:after="0"/>
      </w:pPr>
    </w:p>
    <w:p>
      <w:r>
        <w:t xml:space="preserve">Odnosi se na KZŽ -  u tekućem razdoblju povećani troškovi za sanaciju i obnovu sakralnih objekata na području županije.</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donacije građanima i kućanstvima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907.971,39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596.126,93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65,7</w:t>
            </w:r>
          </w:p>
        </w:tc>
      </w:tr>
    </w:tbl>
    <w:p>
      <w:pPr>
        <w:spacing w:before="0" w:after="0"/>
      </w:pPr>
    </w:p>
    <w:p>
      <w:r>
        <w:t xml:space="preserve">U tekućem razdoblju smanjenje troškova fizičkim osobama za samoobnovu obiteljskih kuća oštećenih u potresu.</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Kazne, penali i naknade štete (šifre 3831 do 3835)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59.579,32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112.933,93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189,6</w:t>
            </w:r>
          </w:p>
        </w:tc>
      </w:tr>
    </w:tbl>
    <w:p>
      <w:pPr>
        <w:spacing w:before="0" w:after="0"/>
      </w:pPr>
    </w:p>
    <w:p>
      <w:r>
        <w:t xml:space="preserve">Značajnije povećanje kod KZŽ odnosi se na sredstva za elementarnu nepogodu na području Kraljevca na Sutli sukladno Odluci Vlade (45.379,91).</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(šifre 3861 do 3865)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141.433,65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333.386,89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235,7</w:t>
            </w:r>
          </w:p>
        </w:tc>
      </w:tr>
    </w:tbl>
    <w:p>
      <w:pPr>
        <w:spacing w:before="0" w:after="0"/>
      </w:pPr>
    </w:p>
    <w:p>
      <w:r>
        <w:t xml:space="preserve">Povećanje se odnosi na KZŽ i na povećanje troškova sufinanciranja odlagališta Piškornica.</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Obračunati prihodi poslovanja - nenaplaćeni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4.187.904,35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13.592.716,79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324,6</w:t>
            </w:r>
          </w:p>
        </w:tc>
      </w:tr>
    </w:tbl>
    <w:p>
      <w:pPr>
        <w:spacing w:before="0" w:after="0"/>
      </w:pPr>
    </w:p>
    <w:p>
      <w:r>
        <w:t xml:space="preserve">U tekućem razdoblju povećanje kod osnovnih i srednjih škola zbog promjene u načinu knjiženja sukladno novom Pravilniku o proračunskom računovodstvu i računskom planu, odnosi se na obračunate prihode Ministarstva znanosti i obrazovanja za plaće, materijalna prava zaposlenika, projekte i sl.</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Stambeni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6.642,80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42.790,00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644,2</w:t>
            </w:r>
          </w:p>
        </w:tc>
      </w:tr>
    </w:tbl>
    <w:p>
      <w:pPr>
        <w:spacing w:before="0" w:after="0"/>
      </w:pPr>
    </w:p>
    <w:p>
      <w:r>
        <w:t xml:space="preserve">Odnosi se na otplaćene stanove u vlasništvu proračunskih korisnika.</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Prijevozna sredstva u cestovnom prometu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7.637,39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20.682,00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270,8</w:t>
            </w:r>
          </w:p>
        </w:tc>
      </w:tr>
    </w:tbl>
    <w:p>
      <w:pPr>
        <w:spacing w:before="0" w:after="0"/>
      </w:pPr>
    </w:p>
    <w:p>
      <w:r>
        <w:t xml:space="preserve">Najveće povećanje u tekućem razdoblju kod KZŽ zbog ostvarenih prihoda od prodaje službenih vozila (16.492,00).</w:t>
      </w:r>
    </w:p>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(šifre 4211 do 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2.831.985,31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13.449.268,54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474,9</w:t>
            </w:r>
          </w:p>
        </w:tc>
      </w:tr>
    </w:tbl>
    <w:p>
      <w:pPr>
        <w:spacing w:before="0" w:after="0"/>
      </w:pPr>
    </w:p>
    <w:p>
      <w:r>
        <w:t xml:space="preserve">Značajno povećanje kod korisnika SB Stubičke toplice zbog izgradnje lječilišta i bazena (8.735.883,80) te kod KZŽ zbog projektiranja i izgradnje nove zgrade Centra za odgoj i obrazovanje Krapinske Toplice u sklopu Nacionalnog plana oporavka i otpornosti (2.693.178,98).</w:t>
      </w:r>
      <w:r>
        <w:br/>
      </w:r>
      <w:r>
        <w:t xml:space="preserve"> </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Dodatna ulaganja na građevinskim objektima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3.626.561,81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16.237.647,98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447,7</w:t>
            </w:r>
          </w:p>
        </w:tc>
      </w:tr>
    </w:tbl>
    <w:p>
      <w:pPr>
        <w:spacing w:before="0" w:after="0"/>
      </w:pPr>
    </w:p>
    <w:p>
      <w:r>
        <w:t xml:space="preserve">Značajno povećanje kod KZŽ zbog projekata obnove i dogradnje škola u sklopu Nacionalnog plana oporavka i otpornosti te kod korisnika SB Krapinske toplice zbog obnove i dogradnje bolnice (9.242.628,43).</w:t>
      </w:r>
    </w:p>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(povrati) glavnice zajmova danih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64.454,89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Odnosi se na KZŽ i sredstva za Poduzetnički centar - Povrat sredstava iz lokalnog garantnog fonda</w:t>
      </w:r>
    </w:p>
    <w:p/>
    <w:p>
      <w:pPr>
        <w:jc w:val="center"/>
        <w:pStyle w:val="Normal"/>
        <w:spacing w:line="240" w:lineRule="auto"/>
        <w:keepNext/>
      </w:pPr>
      <w:r>
        <w:rPr>
          <w:sz w:val="28"/>
          <w:rFonts w:ascii="Times New Roman" w:hAnsi="Times New Roman"/>
        </w:rPr>
        <w:t xml:space="preserve">Bilješka 34.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Povrat zajmova danih tuzemnim kreditnim institucijama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375.965,92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U razdoblju prethodne godine 375.000,00 eura odnosi se na Dom zdravlja KZŽ - primici (povrati) glavnice zajmova danih financijskim institucijama iznose 375.000,00 eura i ostvareni su zbog rasta plaća, a koji nije u dovoljnoj mjeri pokriven porastom financiranja od strane HZZO-a, a 965, 92 eura odnosi se na KZŽ s osnove povrata glavnice depozita žene i mladi, ali u tekućem razdoblju nije bilo realizacije.</w:t>
      </w:r>
    </w:p>
    <w:p/>
    <w:p>
      <w:pPr>
        <w:jc w:val="center"/>
        <w:pStyle w:val="Normal"/>
        <w:spacing w:line="240" w:lineRule="auto"/>
        <w:keepNext/>
      </w:pPr>
      <w:r>
        <w:rPr>
          <w:sz w:val="28"/>
          <w:rFonts w:ascii="Times New Roman" w:hAnsi="Times New Roman"/>
        </w:rPr>
        <w:t xml:space="preserve">Bilješka 35.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povrata jamčevnih pologa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818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Odnosi se na korisnika SB Krapinske Toplice - u tekućem razdoblju ostvaren primitak s osnove povrata jamčevnog pologa. Veza šifra 518.</w:t>
      </w:r>
    </w:p>
    <w:p/>
    <w:p>
      <w:pPr>
        <w:jc w:val="center"/>
        <w:pStyle w:val="Normal"/>
        <w:spacing w:line="240" w:lineRule="auto"/>
        <w:keepNext/>
      </w:pPr>
      <w:r>
        <w:rPr>
          <w:sz w:val="28"/>
          <w:rFonts w:ascii="Times New Roman" w:hAnsi="Times New Roman"/>
        </w:rPr>
        <w:t xml:space="preserve">Bilješka 36.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Primljeni krediti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942.212,50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korisnika Zavod za hitnu medicinu - u 2024. godini primljen je kredit od PBZ Zagreb u iznosu 942.212,50 EUR-a sa svrhom kupnje 2 vozila za hitnu medicinsku pomoć  i 6 vozila za sanitetski prijevoz.</w:t>
      </w:r>
    </w:p>
    <w:p/>
    <w:p>
      <w:pPr>
        <w:jc w:val="center"/>
        <w:pStyle w:val="Normal"/>
        <w:spacing w:line="240" w:lineRule="auto"/>
        <w:keepNext/>
      </w:pPr>
      <w:r>
        <w:rPr>
          <w:sz w:val="28"/>
          <w:rFonts w:ascii="Times New Roman" w:hAnsi="Times New Roman"/>
        </w:rPr>
        <w:t xml:space="preserve">Bilješka 37.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dane zajmove trgovačkim društvima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62.500,00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Odnosi se na KZŽ namjenska sredstva za Poduzetnički centar za dodjelu zajmova poduzetnicima početnicima.</w:t>
      </w:r>
    </w:p>
    <w:p/>
    <w:p>
      <w:pPr>
        <w:jc w:val="center"/>
        <w:pStyle w:val="Normal"/>
        <w:spacing w:line="240" w:lineRule="auto"/>
        <w:keepNext/>
      </w:pPr>
      <w:r>
        <w:rPr>
          <w:sz w:val="28"/>
          <w:rFonts w:ascii="Times New Roman" w:hAnsi="Times New Roman"/>
        </w:rPr>
        <w:t xml:space="preserve">Bilješka 38.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Dani zajmovi tuzemnim kreditnim institucijama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5153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3.626,83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Odnosi se na korisnika Dom zdravlja KZŽ.</w:t>
      </w:r>
    </w:p>
    <w:p/>
    <w:p>
      <w:pPr>
        <w:jc w:val="center"/>
        <w:pStyle w:val="Normal"/>
        <w:spacing w:line="240" w:lineRule="auto"/>
        <w:keepNext/>
      </w:pPr>
      <w:r>
        <w:rPr>
          <w:sz w:val="28"/>
          <w:rFonts w:ascii="Times New Roman" w:hAnsi="Times New Roman"/>
        </w:rPr>
        <w:t xml:space="preserve">Bilješka 39.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kreditnih institucija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350.767,44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Odnosi se na korisnika SŠ Zabok - u travnju 2025. godine nakon isteka počeka započeta je otplata zajma HBOR-u. Izdaci za nefinancijsku imovinu i otplatu zajmova iznosili su u uzvještajnom razdoblju 350.767,44 eura, a odnose se na otplatu glavnice kredita u 4 obroka od po 87.691,86 eura.</w:t>
      </w:r>
    </w:p>
    <w:p/>
    <w:p>
      <w:pPr>
        <w:jc w:val="center"/>
        <w:pStyle w:val="Normal"/>
        <w:spacing w:line="240" w:lineRule="auto"/>
        <w:keepNext/>
      </w:pPr>
      <w:r>
        <w:rPr>
          <w:sz w:val="28"/>
          <w:rFonts w:ascii="Times New Roman" w:hAnsi="Times New Roman"/>
        </w:rPr>
        <w:t xml:space="preserve">Bilješka 40.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kredita od tuzemnih kreditnih institucija izvan javnog sektora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5443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4.333.915,32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740.456,00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17,1</w:t>
            </w:r>
          </w:p>
        </w:tc>
      </w:tr>
    </w:tbl>
    <w:p>
      <w:pPr>
        <w:spacing w:before="0" w:after="0"/>
      </w:pPr>
    </w:p>
    <w:p>
      <w:r>
        <w:t xml:space="preserve">U tekućem razdoblju značajno smanjenje kod KZŽ zbog povrata revolving kredita u prethodnom razdoblju.</w:t>
      </w:r>
    </w:p>
    <w:p/>
    <w:p>
      <w:pPr>
        <w:jc w:val="center"/>
        <w:pStyle w:val="Normal"/>
        <w:spacing w:line="240" w:lineRule="auto"/>
        <w:keepNext/>
      </w:pPr>
      <w:r>
        <w:rPr>
          <w:sz w:val="28"/>
          <w:rFonts w:ascii="Times New Roman" w:hAnsi="Times New Roman"/>
        </w:rPr>
        <w:t xml:space="preserve">Bilješka 41.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5471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Otplata glavnice primljenih zajmova od državnog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5471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188.404,16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755.290,33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400,9</w:t>
            </w:r>
          </w:p>
        </w:tc>
      </w:tr>
    </w:tbl>
    <w:p>
      <w:pPr>
        <w:spacing w:before="0" w:after="0"/>
      </w:pPr>
    </w:p>
    <w:p>
      <w:r>
        <w:t xml:space="preserve">Odnosi se na KZŽ - značajno povećanje u tekućem razdoblju se odnosi na povrat beskamatnog zajma za sanaciju od potresa (700.290,33).</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42.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0262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Ulaganja u računalne programe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0262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776.616,85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1.231.484,42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158,6</w:t>
            </w:r>
          </w:p>
        </w:tc>
      </w:tr>
    </w:tbl>
    <w:p>
      <w:pPr>
        <w:spacing w:before="0" w:after="0"/>
      </w:pPr>
    </w:p>
    <w:p>
      <w:r>
        <w:t xml:space="preserve">Povećanje se najvećim dijelom odnosi na KZŽ (451.250,00 eur) zbog uvođenja lokalne riznice i nabave jedinstvenog programskog rješenja za proračunske korisnike, koji posluju preko jedinstvenog računa proračuna.</w:t>
      </w:r>
    </w:p>
    <w:p/>
    <w:p>
      <w:pPr>
        <w:jc w:val="center"/>
        <w:pStyle w:val="Normal"/>
        <w:spacing w:line="240" w:lineRule="auto"/>
        <w:keepNext/>
      </w:pPr>
      <w:r>
        <w:rPr>
          <w:sz w:val="28"/>
          <w:rFonts w:ascii="Times New Roman" w:hAnsi="Times New Roman"/>
        </w:rPr>
        <w:t xml:space="preserve">Bilješka 43.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u pripremi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9.286.125,80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35.770.026,68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385,2</w:t>
            </w:r>
          </w:p>
        </w:tc>
      </w:tr>
    </w:tbl>
    <w:p>
      <w:pPr>
        <w:spacing w:before="0" w:after="0"/>
      </w:pPr>
    </w:p>
    <w:p>
      <w:r>
        <w:t xml:space="preserve">Značajno povećanje kod KZŽ (15.455.522,79 eur) zbog početka velikih kapitalnih projekata vezanih uglavnom za Nacionalni plan oporavka i otpornosti, kod korisnika SB Krapinske Toplice zbog obnove i dogradnje bolnice (9.264.699,56 eur) te kod korisnika SB Stubičke Toplice zbog izgradnje lječilišnog kompleksa i bazena (9.656.294,12 eur).</w:t>
      </w:r>
      <w:r>
        <w:br/>
      </w:r>
      <w:r>
        <w:t xml:space="preserve"> </w:t>
      </w:r>
    </w:p>
    <w:p/>
    <w:p>
      <w:pPr>
        <w:jc w:val="center"/>
        <w:pStyle w:val="Normal"/>
        <w:spacing w:line="240" w:lineRule="auto"/>
        <w:keepNext/>
      </w:pPr>
      <w:r>
        <w:rPr>
          <w:sz w:val="28"/>
          <w:rFonts w:ascii="Times New Roman" w:hAnsi="Times New Roman"/>
        </w:rPr>
        <w:t xml:space="preserve">Bilješka 44.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Novac na računu kod tuzemnih poslovnih banaka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33.075.905,80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19.064.331,88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57,6</w:t>
            </w:r>
          </w:p>
        </w:tc>
      </w:tr>
    </w:tbl>
    <w:p>
      <w:pPr>
        <w:spacing w:before="0" w:after="0"/>
      </w:pPr>
    </w:p>
    <w:p>
      <w:r>
        <w:t xml:space="preserve">Značajno smanjenje u tekućem razdoblju jer je 45 proračunskih korisnika uvedeno u sustav pune riznice.</w:t>
      </w:r>
    </w:p>
    <w:p/>
    <w:p>
      <w:pPr>
        <w:jc w:val="center"/>
        <w:pStyle w:val="Normal"/>
        <w:spacing w:line="240" w:lineRule="auto"/>
        <w:keepNext/>
      </w:pPr>
      <w:r>
        <w:rPr>
          <w:sz w:val="28"/>
          <w:rFonts w:ascii="Times New Roman" w:hAnsi="Times New Roman"/>
        </w:rPr>
        <w:t xml:space="preserve">Bilješka 45.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Depoziti kod kreditnih i ostalih financijskih institucija - tuzemni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530.392,07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10.532.639,66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1985,8</w:t>
            </w:r>
          </w:p>
        </w:tc>
      </w:tr>
    </w:tbl>
    <w:p>
      <w:pPr>
        <w:spacing w:before="0" w:after="0"/>
      </w:pPr>
    </w:p>
    <w:p>
      <w:r>
        <w:t xml:space="preserve">Povećanje u tekućem razdoblju odnosi se na KZŽ:</w:t>
      </w:r>
    </w:p>
    <w:p>
      <w:r>
        <w:t xml:space="preserve">1.      Namjenski oročeni depozit u banci = 10.000.000,00</w:t>
      </w:r>
    </w:p>
    <w:p>
      <w:r>
        <w:t xml:space="preserve">2.      Depoziti za kreditiranje malih poduzetnika = 369.936,90 - prema novom Pravilniku prijenos sa konto 1211</w:t>
      </w:r>
    </w:p>
    <w:p/>
    <w:p>
      <w:pPr>
        <w:jc w:val="center"/>
        <w:pStyle w:val="Normal"/>
        <w:spacing w:line="240" w:lineRule="auto"/>
        <w:keepNext/>
      </w:pPr>
      <w:r>
        <w:rPr>
          <w:sz w:val="28"/>
          <w:rFonts w:ascii="Times New Roman" w:hAnsi="Times New Roman"/>
        </w:rPr>
        <w:t xml:space="preserve">Bilješka 46.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pomoći proračunskim korisnicima iz proračuna koji im nije nadležan</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24.767,48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5.462.941,07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&gt;&gt;100</w:t>
            </w:r>
          </w:p>
        </w:tc>
      </w:tr>
    </w:tbl>
    <w:p>
      <w:pPr>
        <w:spacing w:before="0" w:after="0"/>
      </w:pPr>
    </w:p>
    <w:p>
      <w:r>
        <w:t xml:space="preserve">Značajno povećanje u tekućem razdoblju kod osnovnih i srednjih škola zbog primjene novog Pravilnika o proračunskom računovodstvu i računskom planu, knjižena su potraživanja od Ministarstva znanosti, obrazovanja i mladih za izdatke za zaposlene za mjesec prosinac 2025. g. (plaća, prijevoz na posao, jubilarne nagrade), zatim potraživanja za prehranu učenika i prijevoz učenika s teškoćama, za naknadu za nezapošljavanje invalida za 12/2025., potraživanja za odobrena, a neisplaćena sredstva za projekte i sl. Veza na šifru 9636.</w:t>
      </w:r>
    </w:p>
    <w:p/>
    <w:p>
      <w:pPr>
        <w:jc w:val="center"/>
        <w:pStyle w:val="Normal"/>
        <w:spacing w:line="240" w:lineRule="auto"/>
        <w:keepNext/>
      </w:pPr>
      <w:r>
        <w:rPr>
          <w:sz w:val="28"/>
          <w:rFonts w:ascii="Times New Roman" w:hAnsi="Times New Roman"/>
        </w:rPr>
        <w:t xml:space="preserve">Bilješka 47.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pomoći temeljem prijenosa EU sredstava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530.897,37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2.990.903,44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563,4</w:t>
            </w:r>
          </w:p>
        </w:tc>
      </w:tr>
    </w:tbl>
    <w:p>
      <w:pPr>
        <w:spacing w:before="0" w:after="0"/>
      </w:pPr>
    </w:p>
    <w:p>
      <w:r>
        <w:t xml:space="preserve">Značajno povećanje kod KZŽ (1.877.198,68 eur) i korisnika SB Krapinske toplice (1.001.530,08 eur) zbog započetih projekata. Veza na šifru 9638.</w:t>
      </w:r>
    </w:p>
    <w:p/>
    <w:p>
      <w:pPr>
        <w:jc w:val="center"/>
        <w:pStyle w:val="Normal"/>
        <w:spacing w:line="240" w:lineRule="auto"/>
        <w:keepNext/>
      </w:pPr>
      <w:r>
        <w:rPr>
          <w:sz w:val="28"/>
          <w:rFonts w:ascii="Times New Roman" w:hAnsi="Times New Roman"/>
        </w:rPr>
        <w:t xml:space="preserve">Bilješka 48.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upravne i administrativne pristojbe, pristojbe po posebnim propisima i naknade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1.440.191,22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2.140.727,37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148,6</w:t>
            </w:r>
          </w:p>
        </w:tc>
      </w:tr>
    </w:tbl>
    <w:p>
      <w:pPr>
        <w:spacing w:before="0" w:after="0"/>
      </w:pPr>
    </w:p>
    <w:p>
      <w:r>
        <w:t xml:space="preserve">Povećanje u tekućem razdoblju kod SB Krapinske Toplice i SB Stubičke Toplice za prihode od HZZO-a s osnove dopunskog osiguranja.</w:t>
      </w:r>
    </w:p>
    <w:p/>
    <w:p>
      <w:pPr>
        <w:jc w:val="center"/>
        <w:pStyle w:val="Normal"/>
        <w:spacing w:line="240" w:lineRule="auto"/>
        <w:keepNext/>
      </w:pPr>
      <w:r>
        <w:rPr>
          <w:sz w:val="28"/>
          <w:rFonts w:ascii="Times New Roman" w:hAnsi="Times New Roman"/>
        </w:rPr>
        <w:t xml:space="preserve">Bilješka 49.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proračunskih korisnika za sredstva uplaćena u nadležni proračun i za prihode od HZZO-a na temelju ugovornih obveza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1.928.734,65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2.430.909,72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126,0</w:t>
            </w:r>
          </w:p>
        </w:tc>
      </w:tr>
    </w:tbl>
    <w:p>
      <w:pPr>
        <w:spacing w:before="0" w:after="0"/>
      </w:pPr>
    </w:p>
    <w:p>
      <w:r>
        <w:t xml:space="preserve">Povećanje se odnosi na proračunske korisnike koji su u tekućem razdoblju ušli u punu riznicu.</w:t>
      </w:r>
    </w:p>
    <w:p/>
    <w:p>
      <w:pPr>
        <w:jc w:val="center"/>
        <w:pStyle w:val="Normal"/>
        <w:spacing w:line="240" w:lineRule="auto"/>
        <w:keepNext/>
      </w:pPr>
      <w:r>
        <w:rPr>
          <w:sz w:val="28"/>
          <w:rFonts w:ascii="Times New Roman" w:hAnsi="Times New Roman"/>
        </w:rPr>
        <w:t xml:space="preserve">Bilješka 50.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193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Kontinuirani rashodi budućih razdoblja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5.129.589,54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Prema novom Pravilniku o proračunskom računovodstvu i računskom planu koji je u primjeni od siječnja 2025. godine konto 193 brisan je iz računskog plana.</w:t>
      </w:r>
    </w:p>
    <w:p/>
    <w:p>
      <w:pPr>
        <w:jc w:val="center"/>
        <w:pStyle w:val="Normal"/>
        <w:spacing w:line="240" w:lineRule="auto"/>
        <w:keepNext/>
      </w:pPr>
      <w:r>
        <w:rPr>
          <w:sz w:val="28"/>
          <w:rFonts w:ascii="Times New Roman" w:hAnsi="Times New Roman"/>
        </w:rPr>
        <w:t xml:space="preserve">Bilješka 51.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predujmove, depozite, jamčevne pologe i tuđe prihode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14.304.292,56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23.358.875,71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163,3</w:t>
            </w:r>
          </w:p>
        </w:tc>
      </w:tr>
    </w:tbl>
    <w:p>
      <w:pPr>
        <w:spacing w:before="0" w:after="0"/>
      </w:pPr>
    </w:p>
    <w:p>
      <w:r>
        <w:t xml:space="preserve">Značajno povećanje kod KZŽ zbog evidentiranja obveza proračuna za naplaćena sredstva proračunskog korisnika (1.842.136,40 eur)-konto 27411 poslovanje putem jedinstvenog računa proračuna te zbog značajnih sredstava primljenih EU predujmova (3.860.509,49 eur). Povećanje kod SB Stubičke toplice zbog primljenih EU predujmova 3.613.027,25 eur te kod SB Krapinske Toplice zbog obveze prema HZZO-u za neizvršenje ugovora u iznosu od 13.484.677,90 eur.</w:t>
      </w:r>
    </w:p>
    <w:p/>
    <w:p>
      <w:pPr>
        <w:jc w:val="center"/>
        <w:pStyle w:val="Normal"/>
        <w:spacing w:line="240" w:lineRule="auto"/>
        <w:keepNext/>
      </w:pPr>
      <w:r>
        <w:rPr>
          <w:sz w:val="28"/>
          <w:rFonts w:ascii="Times New Roman" w:hAnsi="Times New Roman"/>
        </w:rPr>
        <w:t xml:space="preserve">Bilješka 52.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Rezultat - višak/manjak (šifre 9221-9222)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11.337.476,96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-8.120.440,61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-71,6</w:t>
            </w:r>
          </w:p>
        </w:tc>
      </w:tr>
    </w:tbl>
    <w:p>
      <w:pPr>
        <w:spacing w:before="0" w:after="0"/>
      </w:pPr>
    </w:p>
    <w:tbl>
      <w:tblPr>
        <w:tblStyle w:val="TableGrid"/>
        <w:tblW w:w="2957.345" w:type="pct"/>
      </w:tblPr>
      <w:tblGrid>
        <w:gridCol w:w="3620"/>
        <w:gridCol w:w="6003"/>
      </w:tblGrid>
      <w:tr>
        <w:trPr/>
        <w:tc>
          <w:tcPr>
            <w:tcW w:w="1881" w:type="pct"/>
            <w:vAlign w:val="center"/>
          </w:tcPr>
          <w:p>
            <w:r>
              <w:t xml:space="preserve">Osnovne škole</w:t>
            </w:r>
          </w:p>
        </w:tc>
        <w:tc>
          <w:tcPr>
            <w:tcW w:w="3118" w:type="pct"/>
            <w:vAlign w:val="center"/>
          </w:tcPr>
          <w:p>
            <w:pPr>
              <w:keepNext/>
              <w:jc w:val="right"/>
            </w:pPr>
            <w:r>
              <w:t xml:space="preserve">-3.621.181,98</w:t>
            </w:r>
          </w:p>
        </w:tc>
      </w:tr>
      <w:tr>
        <w:trPr/>
        <w:tc>
          <w:tcPr>
            <w:tcW w:w="1881" w:type="pct"/>
            <w:vAlign w:val="center"/>
          </w:tcPr>
          <w:p>
            <w:r>
              <w:t xml:space="preserve">Srednje škole</w:t>
            </w:r>
          </w:p>
        </w:tc>
        <w:tc>
          <w:tcPr>
            <w:tcW w:w="3118" w:type="pct"/>
            <w:vAlign w:val="center"/>
          </w:tcPr>
          <w:p>
            <w:pPr>
              <w:keepNext/>
              <w:jc w:val="right"/>
            </w:pPr>
            <w:r>
              <w:t xml:space="preserve">-1.495.901,77</w:t>
            </w:r>
          </w:p>
        </w:tc>
      </w:tr>
      <w:tr>
        <w:trPr/>
        <w:tc>
          <w:tcPr>
            <w:tcW w:w="1881" w:type="pct"/>
            <w:vAlign w:val="center"/>
          </w:tcPr>
          <w:p>
            <w:r>
              <w:t xml:space="preserve">Zdravstvene ustanove</w:t>
            </w:r>
          </w:p>
        </w:tc>
        <w:tc>
          <w:tcPr>
            <w:tcW w:w="3118" w:type="pct"/>
            <w:vAlign w:val="center"/>
          </w:tcPr>
          <w:p>
            <w:pPr>
              <w:keepNext/>
              <w:jc w:val="right"/>
            </w:pPr>
            <w:r>
              <w:t xml:space="preserve">-17.883.454,03</w:t>
            </w:r>
          </w:p>
        </w:tc>
      </w:tr>
      <w:tr>
        <w:trPr/>
        <w:tc>
          <w:tcPr>
            <w:tcW w:w="1881" w:type="pct"/>
            <w:vAlign w:val="center"/>
          </w:tcPr>
          <w:p>
            <w:r>
              <w:t xml:space="preserve">Krapinsko-zagorska županija</w:t>
            </w:r>
          </w:p>
        </w:tc>
        <w:tc>
          <w:tcPr>
            <w:tcW w:w="3118" w:type="pct"/>
            <w:vAlign w:val="center"/>
          </w:tcPr>
          <w:p>
            <w:pPr>
              <w:keepNext/>
              <w:jc w:val="right"/>
            </w:pPr>
            <w:r>
              <w:t xml:space="preserve">14.835.049,22</w:t>
            </w:r>
          </w:p>
        </w:tc>
      </w:tr>
      <w:tr>
        <w:trPr/>
        <w:tc>
          <w:tcPr>
            <w:tcW w:w="1881" w:type="pct"/>
            <w:vAlign w:val="center"/>
          </w:tcPr>
          <w:p>
            <w:r>
              <w:t xml:space="preserve">Zagorska razvojna agencija</w:t>
            </w:r>
          </w:p>
        </w:tc>
        <w:tc>
          <w:tcPr>
            <w:tcW w:w="3118" w:type="pct"/>
            <w:vAlign w:val="center"/>
          </w:tcPr>
          <w:p>
            <w:pPr>
              <w:keepNext/>
              <w:jc w:val="right"/>
            </w:pPr>
            <w:r>
              <w:t xml:space="preserve">38.318,24</w:t>
            </w:r>
          </w:p>
        </w:tc>
      </w:tr>
      <w:tr>
        <w:trPr/>
        <w:tc>
          <w:tcPr>
            <w:tcW w:w="1881" w:type="pct"/>
            <w:vAlign w:val="center"/>
          </w:tcPr>
          <w:p>
            <w:r>
              <w:t xml:space="preserve">Zavod za prostorno uređenje</w:t>
            </w:r>
          </w:p>
        </w:tc>
        <w:tc>
          <w:tcPr>
            <w:tcW w:w="3118" w:type="pct"/>
            <w:vAlign w:val="center"/>
          </w:tcPr>
          <w:p>
            <w:pPr>
              <w:keepNext/>
              <w:jc w:val="right"/>
            </w:pPr>
            <w:r>
              <w:t xml:space="preserve">17.718,19</w:t>
            </w:r>
          </w:p>
        </w:tc>
      </w:tr>
      <w:tr>
        <w:trPr/>
        <w:tc>
          <w:tcPr>
            <w:tcW w:w="1881" w:type="pct"/>
            <w:vAlign w:val="center"/>
          </w:tcPr>
          <w:p>
            <w:r>
              <w:t xml:space="preserve">Javna ustanova Zagorje zeleno </w:t>
            </w:r>
          </w:p>
        </w:tc>
        <w:tc>
          <w:tcPr>
            <w:tcW w:w="3118" w:type="pct"/>
            <w:vAlign w:val="center"/>
          </w:tcPr>
          <w:p>
            <w:pPr>
              <w:keepNext/>
              <w:jc w:val="right"/>
            </w:pPr>
            <w:r>
              <w:t xml:space="preserve">-21.166,57</w:t>
            </w:r>
          </w:p>
        </w:tc>
      </w:tr>
      <w:tr>
        <w:trPr/>
        <w:tc>
          <w:tcPr>
            <w:tcW w:w="1881" w:type="pct"/>
            <w:vAlign w:val="center"/>
          </w:tcPr>
          <w:p>
            <w:r>
              <w:t xml:space="preserve">Dom Novi početak</w:t>
            </w:r>
          </w:p>
        </w:tc>
        <w:tc>
          <w:tcPr>
            <w:tcW w:w="3118" w:type="pct"/>
            <w:vAlign w:val="center"/>
          </w:tcPr>
          <w:p>
            <w:pPr>
              <w:keepNext/>
              <w:jc w:val="right"/>
            </w:pPr>
            <w:r>
              <w:t xml:space="preserve">10.178,09</w:t>
            </w:r>
          </w:p>
        </w:tc>
      </w:tr>
      <w:tr>
        <w:trPr/>
        <w:tc>
          <w:tcPr>
            <w:tcW w:w="1881" w:type="pct"/>
            <w:vAlign w:val="center"/>
          </w:tcPr>
          <w:p>
            <w:r>
              <w:t xml:space="preserve">UKUPNO</w:t>
            </w:r>
          </w:p>
        </w:tc>
        <w:tc>
          <w:tcPr>
            <w:tcW w:w="3118" w:type="pct"/>
            <w:vAlign w:val="center"/>
          </w:tcPr>
          <w:p>
            <w:pPr>
              <w:keepNext/>
              <w:jc w:val="right"/>
            </w:pPr>
            <w:r>
              <w:t xml:space="preserve">-8.120.440,61</w:t>
            </w:r>
          </w:p>
        </w:tc>
      </w:tr>
    </w:tbl>
    <w:p>
      <w:pPr>
        <w:jc w:val="right"/>
      </w:pPr>
      <w:r>
        <w:t xml:space="preserve"> </w:t>
      </w:r>
    </w:p>
    <w:p/>
    <w:p>
      <w:pPr>
        <w:jc w:val="center"/>
        <w:pStyle w:val="Normal"/>
        <w:spacing w:line="240" w:lineRule="auto"/>
        <w:keepNext/>
      </w:pPr>
      <w:r>
        <w:rPr>
          <w:b/>
          <w:sz w:val="28"/>
          <w:rFonts w:ascii="Times New Roman" w:hAnsi="Times New Roman"/>
        </w:rPr>
        <w:t xml:space="preserve">Promjene u vrijednosti i obujmu imovine i obveza</w:t>
      </w:r>
    </w:p>
    <w:p>
      <w:pPr>
        <w:jc w:val="center"/>
        <w:pStyle w:val="Normal"/>
        <w:spacing w:line="240" w:lineRule="auto"/>
        <w:keepNext/>
      </w:pPr>
      <w:r>
        <w:rPr>
          <w:sz w:val="28"/>
          <w:rFonts w:ascii="Times New Roman" w:hAnsi="Times New Roman"/>
        </w:rPr>
        <w:t xml:space="preserve">Bilješka 53.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Proizvedena dugotrajna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38.661,84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4.457.976,81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&gt;&gt;100</w:t>
            </w:r>
          </w:p>
        </w:tc>
      </w:tr>
    </w:tbl>
    <w:p>
      <w:pPr>
        <w:spacing w:before="0" w:after="0"/>
      </w:pPr>
    </w:p>
    <w:p>
      <w:r>
        <w:t xml:space="preserve">Smanjenje se odnosi na izmjene knjiženja prema Pravilniku o proračunskom računovodstvu i računskom planu prema kojem je preko konta 915 potrebno iskazati amortizaciju.</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54.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obveza 1. siječnja (=stanju obveza iz Izvještaja o obvezama na 31. prosinca prethodne godine)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40.270.851,32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Korekcija početnog stanja kod korisnika OŠ Zabok i OŠ Zlatar Bistrica.</w:t>
      </w:r>
    </w:p>
    <w:p/>
    <w:p>
      <w:pPr>
        <w:jc w:val="center"/>
        <w:pStyle w:val="Normal"/>
        <w:spacing w:line="240" w:lineRule="auto"/>
        <w:keepNext/>
      </w:pPr>
      <w:r>
        <w:rPr>
          <w:sz w:val="28"/>
          <w:rFonts w:ascii="Times New Roman" w:hAnsi="Times New Roman"/>
        </w:rPr>
        <w:t xml:space="preserve">Bilješka 55.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obveza na kraju izvještajnog razdoblja (šifre V001+V002-V004) i (šifre V007+V009)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48.900.874,17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tbl>
      <w:tblPr>
        <w:tblStyle w:val="TableGrid"/>
        <w:tblW w:w="4924.17" w:type="pct"/>
      </w:tblPr>
      <w:tblGrid>
        <w:gridCol w:w="2077"/>
        <w:gridCol w:w="2405"/>
        <w:gridCol w:w="2570"/>
        <w:gridCol w:w="2571"/>
      </w:tblGrid>
      <w:tr>
        <w:trPr/>
        <w:tc>
          <w:tcPr>
            <w:tcW w:w="1079" w:type="pct"/>
            <w:gridSpan w:val="4"/>
            <w:vAlign w:val="center"/>
          </w:tcPr>
          <w:p>
            <w:pPr>
              <w:keepNext/>
              <w:jc w:val="center"/>
            </w:pPr>
            <w:r>
              <w:rPr>
                <w:b/>
              </w:rPr>
              <w:t xml:space="preserve">Stanje obveza na dan 31.12.2025. nakon izvršene eliminacije</w:t>
            </w:r>
          </w:p>
        </w:tc>
      </w:tr>
      <w:tr>
        <w:trPr>
          <w:trHeight w:val="1214" w:hRule="atLeast"/>
        </w:trPr>
        <w:tc>
          <w:tcPr>
            <w:tcW w:w="1079" w:type="pct"/>
            <w:vAlign w:val="center"/>
          </w:tcPr>
          <w:p>
            <w:pPr>
              <w:keepNext/>
              <w:jc w:val="center"/>
            </w:pPr>
            <w:r>
              <w:t xml:space="preserve">Korisnik</w:t>
            </w:r>
          </w:p>
        </w:tc>
        <w:tc>
          <w:tcPr>
            <w:tcW w:w="1249" w:type="pct"/>
            <w:vAlign w:val="center"/>
          </w:tcPr>
          <w:p>
            <w:pPr>
              <w:keepNext/>
              <w:jc w:val="center"/>
            </w:pPr>
            <w:r>
              <w:t xml:space="preserve">šifra V006 stanje obveza na kraju izvještajnog razdoblja (EUR)</w:t>
            </w:r>
          </w:p>
        </w:tc>
        <w:tc>
          <w:tcPr>
            <w:tcW w:w="1335" w:type="pct"/>
            <w:vAlign w:val="center"/>
          </w:tcPr>
          <w:p>
            <w:pPr>
              <w:keepNext/>
              <w:jc w:val="center"/>
            </w:pPr>
            <w:r>
              <w:t xml:space="preserve">šifra V007 stanje dospjelih obveza na kraju izvještajnog razdoblja (EUR)</w:t>
            </w:r>
          </w:p>
        </w:tc>
        <w:tc>
          <w:tcPr>
            <w:tcW w:w="1335" w:type="pct"/>
            <w:vAlign w:val="center"/>
          </w:tcPr>
          <w:p>
            <w:pPr>
              <w:keepNext/>
              <w:jc w:val="center"/>
            </w:pPr>
            <w:r>
              <w:t xml:space="preserve">šifra V009 stanje nedospjelih obveza na kraju izvještajnog razdoblja (EUR)</w:t>
            </w:r>
          </w:p>
        </w:tc>
      </w:tr>
      <w:tr>
        <w:trPr>
          <w:trHeight w:val="542" w:hRule="atLeast"/>
        </w:trPr>
        <w:tc>
          <w:tcPr>
            <w:tcW w:w="1079" w:type="pct"/>
            <w:vAlign w:val="center"/>
          </w:tcPr>
          <w:p>
            <w:r>
              <w:t xml:space="preserve">Osnovne škole</w:t>
            </w:r>
          </w:p>
        </w:tc>
        <w:tc>
          <w:tcPr>
            <w:tcW w:w="1249" w:type="pct"/>
            <w:vAlign w:val="center"/>
          </w:tcPr>
          <w:p>
            <w:pPr>
              <w:keepNext/>
              <w:jc w:val="right"/>
            </w:pPr>
            <w:r>
              <w:t xml:space="preserve">4.524.280,55</w:t>
            </w:r>
          </w:p>
        </w:tc>
        <w:tc>
          <w:tcPr>
            <w:tcW w:w="1335" w:type="pct"/>
            <w:vAlign w:val="center"/>
          </w:tcPr>
          <w:p>
            <w:pPr>
              <w:keepNext/>
              <w:jc w:val="right"/>
            </w:pPr>
            <w:r>
              <w:t xml:space="preserve">180.240,20</w:t>
            </w:r>
          </w:p>
        </w:tc>
        <w:tc>
          <w:tcPr>
            <w:tcW w:w="1335" w:type="pct"/>
            <w:vAlign w:val="center"/>
          </w:tcPr>
          <w:p>
            <w:pPr>
              <w:keepNext/>
              <w:jc w:val="right"/>
            </w:pPr>
            <w:r>
              <w:t xml:space="preserve">13.387.460,50</w:t>
            </w:r>
          </w:p>
        </w:tc>
      </w:tr>
      <w:tr>
        <w:trPr>
          <w:trHeight w:val="542" w:hRule="atLeast"/>
        </w:trPr>
        <w:tc>
          <w:tcPr>
            <w:tcW w:w="1079" w:type="pct"/>
            <w:vAlign w:val="center"/>
          </w:tcPr>
          <w:p>
            <w:r>
              <w:t xml:space="preserve">Srednje škole</w:t>
            </w:r>
          </w:p>
        </w:tc>
        <w:tc>
          <w:tcPr>
            <w:tcW w:w="1249" w:type="pct"/>
            <w:vAlign w:val="center"/>
          </w:tcPr>
          <w:p>
            <w:pPr>
              <w:keepNext/>
              <w:jc w:val="right"/>
            </w:pPr>
            <w:r>
              <w:t xml:space="preserve">6.831.426,83</w:t>
            </w:r>
          </w:p>
        </w:tc>
        <w:tc>
          <w:tcPr>
            <w:tcW w:w="1335" w:type="pct"/>
            <w:vAlign w:val="center"/>
          </w:tcPr>
          <w:p>
            <w:pPr>
              <w:keepNext/>
              <w:jc w:val="right"/>
            </w:pPr>
            <w:r>
              <w:t xml:space="preserve">995,03</w:t>
            </w:r>
          </w:p>
        </w:tc>
        <w:tc>
          <w:tcPr>
            <w:tcW w:w="1335" w:type="pct"/>
            <w:vAlign w:val="center"/>
          </w:tcPr>
          <w:p>
            <w:pPr>
              <w:keepNext/>
              <w:jc w:val="right"/>
            </w:pPr>
            <w:r>
              <w:t xml:space="preserve">6.830.431,80</w:t>
            </w:r>
          </w:p>
        </w:tc>
      </w:tr>
      <w:tr>
        <w:trPr>
          <w:trHeight w:val="602" w:hRule="atLeast"/>
        </w:trPr>
        <w:tc>
          <w:tcPr>
            <w:tcW w:w="1079" w:type="pct"/>
            <w:vAlign w:val="center"/>
          </w:tcPr>
          <w:p>
            <w:r>
              <w:t xml:space="preserve">Zdravstvene ustanove</w:t>
            </w:r>
          </w:p>
        </w:tc>
        <w:tc>
          <w:tcPr>
            <w:tcW w:w="1249" w:type="pct"/>
            <w:vAlign w:val="center"/>
          </w:tcPr>
          <w:p>
            <w:pPr>
              <w:keepNext/>
              <w:jc w:val="right"/>
            </w:pPr>
            <w:r>
              <w:t xml:space="preserve">25.854.642,61</w:t>
            </w:r>
          </w:p>
        </w:tc>
        <w:tc>
          <w:tcPr>
            <w:tcW w:w="1335" w:type="pct"/>
            <w:vAlign w:val="center"/>
          </w:tcPr>
          <w:p>
            <w:pPr>
              <w:keepNext/>
              <w:jc w:val="right"/>
            </w:pPr>
            <w:r>
              <w:t xml:space="preserve">704.317,99</w:t>
            </w:r>
          </w:p>
        </w:tc>
        <w:tc>
          <w:tcPr>
            <w:tcW w:w="1335" w:type="pct"/>
            <w:vAlign w:val="center"/>
          </w:tcPr>
          <w:p>
            <w:pPr>
              <w:keepNext/>
              <w:jc w:val="right"/>
            </w:pPr>
            <w:r>
              <w:t xml:space="preserve">25.150.324,61</w:t>
            </w:r>
          </w:p>
        </w:tc>
      </w:tr>
      <w:tr>
        <w:trPr>
          <w:trHeight w:val="542" w:hRule="atLeast"/>
        </w:trPr>
        <w:tc>
          <w:tcPr>
            <w:tcW w:w="1079" w:type="pct"/>
            <w:vAlign w:val="center"/>
          </w:tcPr>
          <w:p>
            <w:r>
              <w:t xml:space="preserve">Krapinsko-zagorska županija</w:t>
            </w:r>
          </w:p>
        </w:tc>
        <w:tc>
          <w:tcPr>
            <w:tcW w:w="1249" w:type="pct"/>
            <w:vAlign w:val="center"/>
          </w:tcPr>
          <w:p>
            <w:pPr>
              <w:keepNext/>
              <w:jc w:val="right"/>
            </w:pPr>
            <w:r>
              <w:t xml:space="preserve">11.548.298,12</w:t>
            </w:r>
          </w:p>
        </w:tc>
        <w:tc>
          <w:tcPr>
            <w:tcW w:w="1335" w:type="pct"/>
            <w:vAlign w:val="center"/>
          </w:tcPr>
          <w:p>
            <w:pPr>
              <w:keepNext/>
              <w:jc w:val="right"/>
            </w:pPr>
            <w:r>
              <w:t xml:space="preserve">2.874,02</w:t>
            </w:r>
          </w:p>
        </w:tc>
        <w:tc>
          <w:tcPr>
            <w:tcW w:w="1335" w:type="pct"/>
            <w:vAlign w:val="center"/>
          </w:tcPr>
          <w:p>
            <w:pPr>
              <w:keepNext/>
              <w:jc w:val="right"/>
            </w:pPr>
            <w:r>
              <w:t xml:space="preserve">11.545.324,10</w:t>
            </w:r>
          </w:p>
        </w:tc>
      </w:tr>
      <w:tr>
        <w:trPr>
          <w:trHeight w:val="542" w:hRule="atLeast"/>
        </w:trPr>
        <w:tc>
          <w:tcPr>
            <w:tcW w:w="1079" w:type="pct"/>
            <w:vAlign w:val="center"/>
          </w:tcPr>
          <w:p>
            <w:r>
              <w:t xml:space="preserve">Zavod za prostorno uređenje</w:t>
            </w:r>
          </w:p>
        </w:tc>
        <w:tc>
          <w:tcPr>
            <w:tcW w:w="1249" w:type="pct"/>
            <w:vAlign w:val="center"/>
          </w:tcPr>
          <w:p>
            <w:pPr>
              <w:keepNext/>
              <w:jc w:val="right"/>
            </w:pPr>
            <w:r>
              <w:t xml:space="preserve">33.878,12</w:t>
            </w:r>
          </w:p>
        </w:tc>
        <w:tc>
          <w:tcPr>
            <w:tcW w:w="1335" w:type="pct"/>
            <w:vAlign w:val="center"/>
          </w:tcPr>
          <w:p>
            <w:pPr>
              <w:keepNext/>
              <w:jc w:val="right"/>
            </w:pPr>
            <w:r>
              <w:t xml:space="preserve">0,00</w:t>
            </w:r>
          </w:p>
        </w:tc>
        <w:tc>
          <w:tcPr>
            <w:tcW w:w="1335" w:type="pct"/>
            <w:vAlign w:val="center"/>
          </w:tcPr>
          <w:p>
            <w:pPr>
              <w:keepNext/>
              <w:jc w:val="right"/>
            </w:pPr>
            <w:r>
              <w:t xml:space="preserve">33.878,12</w:t>
            </w:r>
          </w:p>
        </w:tc>
      </w:tr>
      <w:tr>
        <w:trPr>
          <w:trHeight w:val="542" w:hRule="atLeast"/>
        </w:trPr>
        <w:tc>
          <w:tcPr>
            <w:tcW w:w="1079" w:type="pct"/>
            <w:vAlign w:val="center"/>
          </w:tcPr>
          <w:p>
            <w:r>
              <w:t xml:space="preserve">JU Zagorje zeleno</w:t>
            </w:r>
          </w:p>
        </w:tc>
        <w:tc>
          <w:tcPr>
            <w:tcW w:w="1249" w:type="pct"/>
            <w:vAlign w:val="center"/>
          </w:tcPr>
          <w:p>
            <w:pPr>
              <w:keepNext/>
              <w:jc w:val="right"/>
            </w:pPr>
            <w:r>
              <w:t xml:space="preserve">21.175,48</w:t>
            </w:r>
          </w:p>
        </w:tc>
        <w:tc>
          <w:tcPr>
            <w:tcW w:w="1335" w:type="pct"/>
            <w:vAlign w:val="center"/>
          </w:tcPr>
          <w:p>
            <w:pPr>
              <w:keepNext/>
              <w:jc w:val="right"/>
            </w:pPr>
            <w:r>
              <w:t xml:space="preserve">0,00</w:t>
            </w:r>
          </w:p>
        </w:tc>
        <w:tc>
          <w:tcPr>
            <w:tcW w:w="1335" w:type="pct"/>
            <w:vAlign w:val="center"/>
          </w:tcPr>
          <w:p>
            <w:pPr>
              <w:keepNext/>
              <w:jc w:val="right"/>
            </w:pPr>
            <w:r>
              <w:t xml:space="preserve">21.175,48</w:t>
            </w:r>
          </w:p>
        </w:tc>
      </w:tr>
      <w:tr>
        <w:trPr>
          <w:trHeight w:val="542" w:hRule="atLeast"/>
        </w:trPr>
        <w:tc>
          <w:tcPr>
            <w:tcW w:w="1079" w:type="pct"/>
            <w:vAlign w:val="center"/>
          </w:tcPr>
          <w:p>
            <w:r>
              <w:t xml:space="preserve">Zagorska razvojna agencija</w:t>
            </w:r>
          </w:p>
        </w:tc>
        <w:tc>
          <w:tcPr>
            <w:tcW w:w="1249" w:type="pct"/>
            <w:vAlign w:val="center"/>
          </w:tcPr>
          <w:p>
            <w:pPr>
              <w:keepNext/>
              <w:jc w:val="right"/>
            </w:pPr>
            <w:r>
              <w:t xml:space="preserve">66.589,50</w:t>
            </w:r>
          </w:p>
        </w:tc>
        <w:tc>
          <w:tcPr>
            <w:tcW w:w="1335" w:type="pct"/>
            <w:vAlign w:val="center"/>
          </w:tcPr>
          <w:p>
            <w:pPr>
              <w:keepNext/>
              <w:jc w:val="right"/>
            </w:pPr>
            <w:r>
              <w:t xml:space="preserve">0,00</w:t>
            </w:r>
          </w:p>
        </w:tc>
        <w:tc>
          <w:tcPr>
            <w:tcW w:w="1335" w:type="pct"/>
            <w:vAlign w:val="center"/>
          </w:tcPr>
          <w:p>
            <w:pPr>
              <w:keepNext/>
              <w:jc w:val="right"/>
            </w:pPr>
            <w:r>
              <w:t xml:space="preserve">66.589,50</w:t>
            </w:r>
          </w:p>
        </w:tc>
      </w:tr>
      <w:tr>
        <w:trPr>
          <w:trHeight w:val="542" w:hRule="atLeast"/>
        </w:trPr>
        <w:tc>
          <w:tcPr>
            <w:tcW w:w="1079" w:type="pct"/>
            <w:vAlign w:val="center"/>
          </w:tcPr>
          <w:p>
            <w:r>
              <w:t xml:space="preserve">Dom Novi početak</w:t>
            </w:r>
          </w:p>
        </w:tc>
        <w:tc>
          <w:tcPr>
            <w:tcW w:w="1249" w:type="pct"/>
            <w:vAlign w:val="center"/>
          </w:tcPr>
          <w:p>
            <w:pPr>
              <w:keepNext/>
              <w:jc w:val="right"/>
            </w:pPr>
            <w:r>
              <w:t xml:space="preserve">20.582,96</w:t>
            </w:r>
          </w:p>
        </w:tc>
        <w:tc>
          <w:tcPr>
            <w:tcW w:w="1335" w:type="pct"/>
            <w:vAlign w:val="center"/>
          </w:tcPr>
          <w:p>
            <w:pPr>
              <w:keepNext/>
              <w:jc w:val="right"/>
            </w:pPr>
            <w:r>
              <w:t xml:space="preserve">1.132,78</w:t>
            </w:r>
          </w:p>
        </w:tc>
        <w:tc>
          <w:tcPr>
            <w:tcW w:w="1335" w:type="pct"/>
            <w:vAlign w:val="center"/>
          </w:tcPr>
          <w:p>
            <w:pPr>
              <w:keepNext/>
              <w:jc w:val="right"/>
            </w:pPr>
            <w:r>
              <w:t xml:space="preserve">19.450,18</w:t>
            </w:r>
          </w:p>
        </w:tc>
      </w:tr>
      <w:tr>
        <w:trPr>
          <w:trHeight w:val="542" w:hRule="atLeast"/>
        </w:trPr>
        <w:tc>
          <w:tcPr>
            <w:tcW w:w="1079" w:type="pct"/>
            <w:vAlign w:val="center"/>
          </w:tcPr>
          <w:p>
            <w:r>
              <w:t xml:space="preserve">UKUPNO</w:t>
            </w:r>
          </w:p>
        </w:tc>
        <w:tc>
          <w:tcPr>
            <w:tcW w:w="1249" w:type="pct"/>
            <w:vAlign w:val="center"/>
          </w:tcPr>
          <w:p>
            <w:pPr>
              <w:keepNext/>
              <w:jc w:val="right"/>
            </w:pPr>
            <w:r>
              <w:t xml:space="preserve">48.900.874,17</w:t>
            </w:r>
          </w:p>
        </w:tc>
        <w:tc>
          <w:tcPr>
            <w:tcW w:w="1335" w:type="pct"/>
            <w:vAlign w:val="center"/>
          </w:tcPr>
          <w:p>
            <w:pPr>
              <w:keepNext/>
              <w:jc w:val="right"/>
            </w:pPr>
            <w:r>
              <w:t xml:space="preserve">889.660,02</w:t>
            </w:r>
          </w:p>
        </w:tc>
        <w:tc>
          <w:tcPr>
            <w:tcW w:w="1335" w:type="pct"/>
            <w:vAlign w:val="center"/>
          </w:tcPr>
          <w:p>
            <w:pPr>
              <w:keepNext/>
              <w:jc w:val="right"/>
            </w:pPr>
            <w:r>
              <w:t xml:space="preserve">48.011.214,15</w:t>
            </w:r>
          </w:p>
        </w:tc>
      </w:tr>
    </w:tbl>
    <w:p>
      <w:r>
        <w:t xml:space="preserve"> </w:t>
      </w:r>
    </w:p>
    <w:p/>
    <w:p>
      <w:pPr>
        <w:jc w:val="center"/>
        <w:pStyle w:val="Normal"/>
        <w:spacing w:line="240" w:lineRule="auto"/>
        <w:keepNext/>
      </w:pPr>
      <w:r>
        <w:rPr>
          <w:sz w:val="28"/>
          <w:rFonts w:ascii="Times New Roman" w:hAnsi="Times New Roman"/>
        </w:rPr>
        <w:t xml:space="preserve">Bilješka 56.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889.660,02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Dospjele obveze najvećim dijelom odnose se na zdravstvene ustanove SB Krapinske Toplice (621.000,24eur) i Zavod za javno zdravstvo KZŽ (83.317,75 eur), do kojih je došlo zbog trenutne financijske situacije i likvidnosti poslovanja,a najvećim dijelom odnose se na obveze za materijalne rashode. Osnovne škole imaju 180.240,20 eur dospjelih obveza, koje se najvećim dijelom odnose na troškove za školsku kuhinju, udžbenike, lektiru te prijevoz koji se isplaćuju nakon uplate Ministarstva znanosti i obrazovanja. Ostatak dospjelih obveza odnosi se na račune dobavljača, koji nisu na vrijeme dostavljeni na plaćanje.</w:t>
      </w:r>
    </w:p>
    <w:p/>
    <w:p>
      <w:pPr>
        <w:jc w:val="center"/>
        <w:pStyle w:val="Normal"/>
        <w:spacing w:line="240" w:lineRule="auto"/>
        <w:keepNext/>
      </w:pPr>
      <w:r>
        <w:rPr>
          <w:sz w:val="28"/>
          <w:rFonts w:ascii="Times New Roman" w:hAnsi="Times New Roman"/>
        </w:rPr>
        <w:t xml:space="preserve">Bilješka 57.</w:t>
      </w:r>
    </w:p>
    <w:p>
      <w:pPr>
        <w:jc w:val="both"/>
        <w:pStyle w:val="Normal"/>
        <w:spacing w:line="240" w:lineRule="auto"/>
      </w:pPr>
      <w:r>
        <w:rPr>
          <w:b/>
          <w:sz w:val="24"/>
          <w:rFonts w:ascii="Times New Roman" w:hAnsi="Times New Roman"/>
        </w:rPr>
        <w:t xml:space="preserve">Manjak ili višak u poslovanju grupe i pregled strukture manjka/viška po proračunskim korisnicima </w:t>
      </w:r>
    </w:p>
    <w:tbl>
      <w:tblPr>
        <w:tblStyle w:val="TableGrid"/>
        <w:tblW w:w="5000" w:type="pct"/>
      </w:tblPr>
      <w:tblGrid>
        <w:gridCol w:w="2408"/>
        <w:gridCol w:w="2408"/>
        <w:gridCol w:w="2408"/>
        <w:gridCol w:w="2408"/>
      </w:tblGrid>
      <w:tr>
        <w:trPr>
          <w:trHeight w:val="2030" w:hRule="atLeast"/>
        </w:trPr>
        <w:tc>
          <w:tcPr>
            <w:tcW w:w="1251" w:type="pct"/>
            <w:vAlign w:val="center"/>
          </w:tcPr>
          <w:p>
            <w:pPr>
              <w:keepNext/>
              <w:jc w:val="center"/>
            </w:pPr>
            <w:r>
              <w:rPr>
                <w:b/>
              </w:rPr>
              <w:t xml:space="preserve">Korisnik</w:t>
            </w:r>
          </w:p>
        </w:tc>
        <w:tc>
          <w:tcPr>
            <w:tcW w:w="1251" w:type="pct"/>
            <w:vAlign w:val="center"/>
          </w:tcPr>
          <w:p>
            <w:pPr>
              <w:keepNext/>
              <w:jc w:val="center"/>
            </w:pPr>
            <w:r>
              <w:rPr>
                <w:b/>
              </w:rPr>
              <w:t xml:space="preserve">             šifra X005,Y005            višak/manjak primitaka na dan 31.12.2025. (eur)</w:t>
            </w:r>
          </w:p>
        </w:tc>
        <w:tc>
          <w:tcPr>
            <w:tcW w:w="1251" w:type="pct"/>
            <w:vAlign w:val="center"/>
          </w:tcPr>
          <w:p>
            <w:pPr>
              <w:keepNext/>
              <w:jc w:val="center"/>
            </w:pPr>
            <w:r>
              <w:rPr>
                <w:b/>
              </w:rPr>
              <w:t xml:space="preserve">   šifra 9221-9222                                šifra 9222-9221                                višak/manjak prihoda i primitaka-   preneseni na dan 31.12.2025. (eur)</w:t>
            </w:r>
          </w:p>
        </w:tc>
        <w:tc>
          <w:tcPr>
            <w:tcW w:w="1251" w:type="pct"/>
            <w:vAlign w:val="center"/>
          </w:tcPr>
          <w:p>
            <w:pPr>
              <w:keepNext/>
              <w:jc w:val="center"/>
            </w:pPr>
            <w:r>
              <w:rPr>
                <w:b/>
              </w:rPr>
              <w:t xml:space="preserve">šifra X006,Y006 višak/manjak prihoda i primitaka -raspoloživ/za pokriće na dan 31.12.2025. (eur) </w:t>
            </w:r>
          </w:p>
        </w:tc>
      </w:tr>
      <w:tr>
        <w:trPr>
          <w:trHeight w:val="542" w:hRule="atLeast"/>
        </w:trPr>
        <w:tc>
          <w:tcPr>
            <w:tcW w:w="1251" w:type="pct"/>
            <w:vAlign w:val="center"/>
          </w:tcPr>
          <w:p>
            <w:r>
              <w:t xml:space="preserve">Osnovne škole</w:t>
            </w:r>
          </w:p>
        </w:tc>
        <w:tc>
          <w:tcPr>
            <w:tcW w:w="1251" w:type="pct"/>
            <w:vAlign w:val="center"/>
          </w:tcPr>
          <w:p>
            <w:pPr>
              <w:keepNext/>
              <w:jc w:val="right"/>
            </w:pPr>
            <w:r>
              <w:t xml:space="preserve">- 3.966.989,26</w:t>
            </w:r>
          </w:p>
        </w:tc>
        <w:tc>
          <w:tcPr>
            <w:tcW w:w="1251" w:type="pct"/>
            <w:vAlign w:val="center"/>
          </w:tcPr>
          <w:p>
            <w:pPr>
              <w:keepNext/>
              <w:jc w:val="right"/>
            </w:pPr>
            <w:r>
              <w:t xml:space="preserve">345.807,28</w:t>
            </w:r>
          </w:p>
        </w:tc>
        <w:tc>
          <w:tcPr>
            <w:tcW w:w="1251" w:type="pct"/>
            <w:vAlign w:val="center"/>
          </w:tcPr>
          <w:p>
            <w:pPr>
              <w:keepNext/>
              <w:jc w:val="right"/>
            </w:pPr>
            <w:r>
              <w:t xml:space="preserve">- 3.621.181,98</w:t>
            </w:r>
          </w:p>
        </w:tc>
      </w:tr>
      <w:tr>
        <w:trPr>
          <w:trHeight w:val="542" w:hRule="atLeast"/>
        </w:trPr>
        <w:tc>
          <w:tcPr>
            <w:tcW w:w="1251" w:type="pct"/>
            <w:vAlign w:val="center"/>
          </w:tcPr>
          <w:p>
            <w:r>
              <w:t xml:space="preserve">Srednje škole</w:t>
            </w:r>
          </w:p>
        </w:tc>
        <w:tc>
          <w:tcPr>
            <w:tcW w:w="1251" w:type="pct"/>
            <w:vAlign w:val="center"/>
          </w:tcPr>
          <w:p>
            <w:pPr>
              <w:keepNext/>
              <w:jc w:val="right"/>
            </w:pPr>
            <w:r>
              <w:t xml:space="preserve">- 2.857.103,27</w:t>
            </w:r>
          </w:p>
        </w:tc>
        <w:tc>
          <w:tcPr>
            <w:tcW w:w="1251" w:type="pct"/>
            <w:vAlign w:val="center"/>
          </w:tcPr>
          <w:p>
            <w:pPr>
              <w:keepNext/>
              <w:jc w:val="right"/>
            </w:pPr>
            <w:r>
              <w:t xml:space="preserve">433.296,47</w:t>
            </w:r>
          </w:p>
        </w:tc>
        <w:tc>
          <w:tcPr>
            <w:tcW w:w="1251" w:type="pct"/>
            <w:vAlign w:val="center"/>
          </w:tcPr>
          <w:p>
            <w:pPr>
              <w:keepNext/>
              <w:jc w:val="right"/>
            </w:pPr>
            <w:r>
              <w:t xml:space="preserve">- 1.495.901,77</w:t>
            </w:r>
          </w:p>
        </w:tc>
      </w:tr>
      <w:tr>
        <w:trPr>
          <w:trHeight w:val="542" w:hRule="atLeast"/>
        </w:trPr>
        <w:tc>
          <w:tcPr>
            <w:tcW w:w="1251" w:type="pct"/>
            <w:vAlign w:val="center"/>
          </w:tcPr>
          <w:p>
            <w:r>
              <w:t xml:space="preserve">Zdravstvene ustanove</w:t>
            </w:r>
          </w:p>
        </w:tc>
        <w:tc>
          <w:tcPr>
            <w:tcW w:w="1251" w:type="pct"/>
            <w:vAlign w:val="center"/>
          </w:tcPr>
          <w:p>
            <w:pPr>
              <w:keepNext/>
              <w:jc w:val="right"/>
            </w:pPr>
            <w:r>
              <w:t xml:space="preserve">- 6.321.277,02</w:t>
            </w:r>
          </w:p>
        </w:tc>
        <w:tc>
          <w:tcPr>
            <w:tcW w:w="1251" w:type="pct"/>
            <w:vAlign w:val="center"/>
          </w:tcPr>
          <w:p>
            <w:pPr>
              <w:keepNext/>
              <w:jc w:val="right"/>
            </w:pPr>
            <w:r>
              <w:t xml:space="preserve">- 11.562.77,01</w:t>
            </w:r>
          </w:p>
        </w:tc>
        <w:tc>
          <w:tcPr>
            <w:tcW w:w="1251" w:type="pct"/>
            <w:vAlign w:val="center"/>
          </w:tcPr>
          <w:p>
            <w:pPr>
              <w:keepNext/>
              <w:jc w:val="right"/>
            </w:pPr>
            <w:r>
              <w:t xml:space="preserve">- 17.883.454,03</w:t>
            </w:r>
          </w:p>
        </w:tc>
      </w:tr>
      <w:tr>
        <w:trPr>
          <w:trHeight w:val="542" w:hRule="atLeast"/>
        </w:trPr>
        <w:tc>
          <w:tcPr>
            <w:tcW w:w="1251" w:type="pct"/>
            <w:vAlign w:val="center"/>
          </w:tcPr>
          <w:p>
            <w:r>
              <w:t xml:space="preserve">Krapinsko-zagorska županija</w:t>
            </w:r>
          </w:p>
        </w:tc>
        <w:tc>
          <w:tcPr>
            <w:tcW w:w="1251" w:type="pct"/>
            <w:vAlign w:val="center"/>
          </w:tcPr>
          <w:p>
            <w:pPr>
              <w:keepNext/>
              <w:jc w:val="right"/>
            </w:pPr>
            <w:r>
              <w:t xml:space="preserve">- 2.857.103,27</w:t>
            </w:r>
          </w:p>
        </w:tc>
        <w:tc>
          <w:tcPr>
            <w:tcW w:w="1251" w:type="pct"/>
            <w:vAlign w:val="center"/>
          </w:tcPr>
          <w:p>
            <w:pPr>
              <w:keepNext/>
              <w:jc w:val="right"/>
            </w:pPr>
            <w:r>
              <w:t xml:space="preserve">17.692.152,49</w:t>
            </w:r>
          </w:p>
        </w:tc>
        <w:tc>
          <w:tcPr>
            <w:tcW w:w="1251" w:type="pct"/>
            <w:vAlign w:val="center"/>
          </w:tcPr>
          <w:p>
            <w:pPr>
              <w:keepNext/>
              <w:jc w:val="right"/>
            </w:pPr>
            <w:r>
              <w:t xml:space="preserve">14.835.049,22</w:t>
            </w:r>
          </w:p>
        </w:tc>
      </w:tr>
      <w:tr>
        <w:trPr>
          <w:trHeight w:val="542" w:hRule="atLeast"/>
        </w:trPr>
        <w:tc>
          <w:tcPr>
            <w:tcW w:w="1251" w:type="pct"/>
            <w:vAlign w:val="center"/>
          </w:tcPr>
          <w:p>
            <w:r>
              <w:t xml:space="preserve">Zavod za prostorno uređenje</w:t>
            </w:r>
          </w:p>
        </w:tc>
        <w:tc>
          <w:tcPr>
            <w:tcW w:w="1251" w:type="pct"/>
            <w:vAlign w:val="center"/>
          </w:tcPr>
          <w:p>
            <w:pPr>
              <w:keepNext/>
              <w:jc w:val="right"/>
            </w:pPr>
            <w:r>
              <w:t xml:space="preserve">- 63.579,04</w:t>
            </w:r>
          </w:p>
        </w:tc>
        <w:tc>
          <w:tcPr>
            <w:tcW w:w="1251" w:type="pct"/>
            <w:vAlign w:val="center"/>
          </w:tcPr>
          <w:p>
            <w:pPr>
              <w:keepNext/>
              <w:jc w:val="right"/>
            </w:pPr>
            <w:r>
              <w:t xml:space="preserve">81.297,23</w:t>
            </w:r>
          </w:p>
        </w:tc>
        <w:tc>
          <w:tcPr>
            <w:tcW w:w="1251" w:type="pct"/>
            <w:vAlign w:val="center"/>
          </w:tcPr>
          <w:p>
            <w:pPr>
              <w:keepNext/>
              <w:jc w:val="right"/>
            </w:pPr>
            <w:r>
              <w:t xml:space="preserve">17.718,19</w:t>
            </w:r>
          </w:p>
        </w:tc>
      </w:tr>
      <w:tr>
        <w:trPr>
          <w:trHeight w:val="542" w:hRule="atLeast"/>
        </w:trPr>
        <w:tc>
          <w:tcPr>
            <w:tcW w:w="1251" w:type="pct"/>
            <w:vAlign w:val="center"/>
          </w:tcPr>
          <w:p>
            <w:r>
              <w:t xml:space="preserve">Javna ustanova Zagorje zeleno</w:t>
            </w:r>
          </w:p>
        </w:tc>
        <w:tc>
          <w:tcPr>
            <w:tcW w:w="1251" w:type="pct"/>
            <w:vAlign w:val="center"/>
          </w:tcPr>
          <w:p>
            <w:pPr>
              <w:keepNext/>
              <w:jc w:val="right"/>
            </w:pPr>
            <w:r>
              <w:t xml:space="preserve">- 21.175,46</w:t>
            </w:r>
          </w:p>
        </w:tc>
        <w:tc>
          <w:tcPr>
            <w:tcW w:w="1251" w:type="pct"/>
            <w:vAlign w:val="center"/>
          </w:tcPr>
          <w:p>
            <w:pPr>
              <w:keepNext/>
              <w:jc w:val="right"/>
            </w:pPr>
            <w:r>
              <w:t xml:space="preserve">8,89</w:t>
            </w:r>
          </w:p>
        </w:tc>
        <w:tc>
          <w:tcPr>
            <w:tcW w:w="1251" w:type="pct"/>
            <w:vAlign w:val="center"/>
          </w:tcPr>
          <w:p>
            <w:pPr>
              <w:keepNext/>
              <w:jc w:val="right"/>
            </w:pPr>
            <w:r>
              <w:t xml:space="preserve">- 21.166,57</w:t>
            </w:r>
          </w:p>
        </w:tc>
      </w:tr>
      <w:tr>
        <w:trPr>
          <w:trHeight w:val="542" w:hRule="atLeast"/>
        </w:trPr>
        <w:tc>
          <w:tcPr>
            <w:tcW w:w="1251" w:type="pct"/>
            <w:vAlign w:val="center"/>
          </w:tcPr>
          <w:p>
            <w:r>
              <w:t xml:space="preserve">Zagorska razvojna agencija</w:t>
            </w:r>
          </w:p>
        </w:tc>
        <w:tc>
          <w:tcPr>
            <w:tcW w:w="1251" w:type="pct"/>
            <w:vAlign w:val="center"/>
          </w:tcPr>
          <w:p>
            <w:pPr>
              <w:keepNext/>
              <w:jc w:val="right"/>
            </w:pPr>
            <w:r>
              <w:t xml:space="preserve">- 111.108,12</w:t>
            </w:r>
          </w:p>
        </w:tc>
        <w:tc>
          <w:tcPr>
            <w:tcW w:w="1251" w:type="pct"/>
            <w:vAlign w:val="center"/>
          </w:tcPr>
          <w:p>
            <w:pPr>
              <w:keepNext/>
              <w:jc w:val="right"/>
            </w:pPr>
            <w:r>
              <w:t xml:space="preserve">149.426,36</w:t>
            </w:r>
          </w:p>
        </w:tc>
        <w:tc>
          <w:tcPr>
            <w:tcW w:w="1251" w:type="pct"/>
            <w:vAlign w:val="center"/>
          </w:tcPr>
          <w:p>
            <w:pPr>
              <w:keepNext/>
              <w:jc w:val="right"/>
            </w:pPr>
            <w:r>
              <w:t xml:space="preserve">38.318,24</w:t>
            </w:r>
          </w:p>
        </w:tc>
      </w:tr>
      <w:tr>
        <w:trPr>
          <w:trHeight w:val="542" w:hRule="atLeast"/>
        </w:trPr>
        <w:tc>
          <w:tcPr>
            <w:tcW w:w="1251" w:type="pct"/>
            <w:vAlign w:val="center"/>
          </w:tcPr>
          <w:p>
            <w:r>
              <w:t xml:space="preserve">Dom Novi početak</w:t>
            </w:r>
          </w:p>
        </w:tc>
        <w:tc>
          <w:tcPr>
            <w:tcW w:w="1251" w:type="pct"/>
            <w:vAlign w:val="center"/>
          </w:tcPr>
          <w:p>
            <w:pPr>
              <w:keepNext/>
              <w:jc w:val="right"/>
            </w:pPr>
            <w:r>
              <w:t xml:space="preserve">- 24.235,10</w:t>
            </w:r>
          </w:p>
        </w:tc>
        <w:tc>
          <w:tcPr>
            <w:tcW w:w="1251" w:type="pct"/>
            <w:vAlign w:val="center"/>
          </w:tcPr>
          <w:p>
            <w:pPr>
              <w:keepNext/>
              <w:jc w:val="right"/>
            </w:pPr>
            <w:r>
              <w:t xml:space="preserve">34.413,19</w:t>
            </w:r>
          </w:p>
        </w:tc>
        <w:tc>
          <w:tcPr>
            <w:tcW w:w="1251" w:type="pct"/>
            <w:vAlign w:val="center"/>
          </w:tcPr>
          <w:p>
            <w:pPr>
              <w:keepNext/>
              <w:jc w:val="right"/>
            </w:pPr>
            <w:r>
              <w:t xml:space="preserve">10.178,09</w:t>
            </w:r>
          </w:p>
        </w:tc>
      </w:tr>
      <w:tr>
        <w:trPr>
          <w:trHeight w:val="542" w:hRule="atLeast"/>
        </w:trPr>
        <w:tc>
          <w:tcPr>
            <w:tcW w:w="1251" w:type="pct"/>
            <w:vAlign w:val="center"/>
          </w:tcPr>
          <w:p>
            <w:r>
              <w:rPr>
                <w:b/>
              </w:rPr>
              <w:t xml:space="preserve">UKUPNO</w:t>
            </w:r>
          </w:p>
        </w:tc>
        <w:tc>
          <w:tcPr>
            <w:tcW w:w="1251" w:type="pct"/>
            <w:vAlign w:val="center"/>
          </w:tcPr>
          <w:p>
            <w:pPr>
              <w:keepNext/>
              <w:jc w:val="right"/>
            </w:pPr>
            <w:r>
              <w:rPr>
                <w:b/>
              </w:rPr>
              <w:t xml:space="preserve">- 15.294.665,51</w:t>
            </w:r>
          </w:p>
        </w:tc>
        <w:tc>
          <w:tcPr>
            <w:tcW w:w="1251" w:type="pct"/>
            <w:vAlign w:val="center"/>
          </w:tcPr>
          <w:p>
            <w:pPr>
              <w:keepNext/>
              <w:jc w:val="right"/>
            </w:pPr>
            <w:r>
              <w:rPr>
                <w:b/>
              </w:rPr>
              <w:t xml:space="preserve">7.174.224,90</w:t>
            </w:r>
          </w:p>
        </w:tc>
        <w:tc>
          <w:tcPr>
            <w:tcW w:w="1251" w:type="pct"/>
            <w:vAlign w:val="center"/>
          </w:tcPr>
          <w:p>
            <w:pPr>
              <w:keepNext/>
              <w:jc w:val="right"/>
            </w:pPr>
            <w:r>
              <w:rPr>
                <w:b/>
              </w:rPr>
              <w:t xml:space="preserve">- 8.120.440,61</w:t>
            </w:r>
          </w:p>
        </w:tc>
      </w:tr>
    </w:tbl>
    <w:p>
      <w:r>
        <w:t xml:space="preserve"> </w:t>
      </w:r>
    </w:p>
    <w:p/>
    <w:p>
      <w:pPr>
        <w:jc w:val="center"/>
        <w:pStyle w:val="Normal"/>
        <w:spacing w:line="240" w:lineRule="auto"/>
        <w:keepNext/>
      </w:pPr>
      <w:r>
        <w:rPr>
          <w:sz w:val="28"/>
          <w:rFonts w:ascii="Times New Roman" w:hAnsi="Times New Roman"/>
        </w:rPr>
        <w:t xml:space="preserve">Bilješka 58.</w:t>
      </w:r>
    </w:p>
    <w:p>
      <w:pPr>
        <w:jc w:val="both"/>
        <w:pStyle w:val="Normal"/>
        <w:spacing w:line="240" w:lineRule="auto"/>
      </w:pPr>
      <w:r>
        <w:rPr>
          <w:b/>
          <w:sz w:val="24"/>
          <w:rFonts w:ascii="Times New Roman" w:hAnsi="Times New Roman"/>
        </w:rPr>
        <w:t xml:space="preserve">Unutargrupne transakcije koje su u izvještajima eliminirane</w:t>
      </w:r>
    </w:p>
    <w:tbl>
      <w:tblPr>
        <w:tblStyle w:val="TableGrid"/>
        <w:tblW w:w="2350.71" w:type="pct"/>
      </w:tblPr>
      <w:tblGrid>
        <w:gridCol w:w="1116"/>
        <w:gridCol w:w="1910"/>
        <w:gridCol w:w="2591"/>
        <w:gridCol w:w="1980"/>
        <w:gridCol w:w="2029"/>
      </w:tblGrid>
      <w:tr>
        <w:trPr/>
        <w:tc>
          <w:tcPr>
            <w:tcW w:w="579" w:type="pct"/>
            <w:gridSpan w:val="5"/>
            <w:vAlign w:val="center"/>
          </w:tcPr>
          <w:p>
            <w:pPr>
              <w:keepNext/>
              <w:jc w:val="center"/>
            </w:pPr>
            <w:r>
              <w:rPr>
                <w:b/>
              </w:rPr>
              <w:t xml:space="preserve">Eliminacija obrazac Obveze</w:t>
            </w:r>
          </w:p>
        </w:tc>
      </w:tr>
      <w:tr>
        <w:trPr>
          <w:trHeight w:val="1313" w:hRule="atLeast"/>
        </w:trPr>
        <w:tc>
          <w:tcPr>
            <w:tcW w:w="579" w:type="pct"/>
            <w:vAlign w:val="center"/>
          </w:tcPr>
          <w:p>
            <w:pPr>
              <w:keepNext/>
              <w:jc w:val="center"/>
            </w:pPr>
            <w:r>
              <w:rPr>
                <w:b/>
              </w:rPr>
              <w:t xml:space="preserve">ŠIFRA</w:t>
            </w:r>
          </w:p>
        </w:tc>
        <w:tc>
          <w:tcPr>
            <w:tcW w:w="992" w:type="pct"/>
            <w:vAlign w:val="center"/>
          </w:tcPr>
          <w:p>
            <w:pPr>
              <w:keepNext/>
              <w:jc w:val="center"/>
            </w:pPr>
            <w:r>
              <w:rPr>
                <w:b/>
              </w:rPr>
              <w:t xml:space="preserve">RAZINA</w:t>
            </w:r>
          </w:p>
          <w:p>
            <w:pPr>
              <w:keepNext/>
              <w:jc w:val="center"/>
            </w:pPr>
            <w:r>
              <w:rPr>
                <w:b/>
              </w:rPr>
              <w:t xml:space="preserve"> IZVJEŠTAJA</w:t>
            </w:r>
          </w:p>
        </w:tc>
        <w:tc>
          <w:tcPr>
            <w:tcW w:w="1346" w:type="pct"/>
            <w:vAlign w:val="center"/>
          </w:tcPr>
          <w:p>
            <w:pPr>
              <w:keepNext/>
              <w:jc w:val="center"/>
            </w:pPr>
            <w:r>
              <w:rPr>
                <w:b/>
              </w:rPr>
              <w:t xml:space="preserve">RAČUN</w:t>
            </w:r>
          </w:p>
        </w:tc>
        <w:tc>
          <w:tcPr>
            <w:tcW w:w="1028" w:type="pct"/>
            <w:gridSpan w:val="2"/>
            <w:vAlign w:val="center"/>
          </w:tcPr>
          <w:p>
            <w:pPr>
              <w:keepNext/>
              <w:jc w:val="center"/>
            </w:pPr>
            <w:r>
              <w:rPr>
                <w:b/>
              </w:rPr>
              <w:t xml:space="preserve">IZNOS</w:t>
            </w:r>
          </w:p>
        </w:tc>
      </w:tr>
      <w:tr>
        <w:trPr>
          <w:trHeight w:val="1598" w:hRule="atLeast"/>
        </w:trPr>
        <w:tc>
          <w:tcPr>
            <w:tcW w:w="579" w:type="pct"/>
            <w:vAlign w:val="center"/>
          </w:tcPr>
          <w:p>
            <w:r>
              <w:t xml:space="preserve">V001</w:t>
            </w:r>
          </w:p>
        </w:tc>
        <w:tc>
          <w:tcPr>
            <w:tcW w:w="992" w:type="pct"/>
            <w:vAlign w:val="center"/>
          </w:tcPr>
          <w:p>
            <w:pPr>
              <w:keepNext/>
              <w:jc w:val="center"/>
            </w:pPr>
            <w:r>
              <w:t xml:space="preserve">22</w:t>
            </w:r>
          </w:p>
          <w:p>
            <w:pPr>
              <w:keepNext/>
              <w:jc w:val="center"/>
            </w:pPr>
            <w:r>
              <w:t xml:space="preserve">21, 31</w:t>
            </w:r>
          </w:p>
        </w:tc>
        <w:tc>
          <w:tcPr>
            <w:tcW w:w="1346" w:type="pct"/>
            <w:vAlign w:val="center"/>
          </w:tcPr>
          <w:p>
            <w:pPr>
              <w:keepNext/>
              <w:jc w:val="center"/>
            </w:pPr>
            <w:r>
              <w:t xml:space="preserve">27411</w:t>
            </w:r>
          </w:p>
          <w:p>
            <w:pPr>
              <w:keepNext/>
              <w:jc w:val="center"/>
            </w:pPr>
            <w:r>
              <w:t xml:space="preserve">27611</w:t>
            </w:r>
          </w:p>
        </w:tc>
        <w:tc>
          <w:tcPr>
            <w:tcW w:w="1028" w:type="pct"/>
            <w:vAlign w:val="center"/>
          </w:tcPr>
          <w:p>
            <w:pPr>
              <w:keepNext/>
              <w:jc w:val="right"/>
            </w:pPr>
            <w:r>
              <w:t xml:space="preserve">81.306,12</w:t>
            </w:r>
          </w:p>
          <w:p>
            <w:pPr>
              <w:keepNext/>
              <w:jc w:val="right"/>
            </w:pPr>
            <w:r>
              <w:t xml:space="preserve">5.426,32  </w:t>
            </w:r>
          </w:p>
        </w:tc>
        <w:tc>
          <w:tcPr>
            <w:tcW w:w="1053" w:type="pct"/>
            <w:vAlign w:val="center"/>
          </w:tcPr>
          <w:p>
            <w:pPr>
              <w:keepNext/>
              <w:jc w:val="right"/>
            </w:pPr>
            <w:r>
              <w:t xml:space="preserve">86.732,44</w:t>
            </w:r>
          </w:p>
        </w:tc>
      </w:tr>
      <w:tr>
        <w:trPr>
          <w:trHeight w:val="1598" w:hRule="atLeast"/>
        </w:trPr>
        <w:tc>
          <w:tcPr>
            <w:tcW w:w="579" w:type="pct"/>
            <w:vAlign w:val="center"/>
          </w:tcPr>
          <w:p>
            <w:r>
              <w:t xml:space="preserve">V003</w:t>
            </w:r>
          </w:p>
        </w:tc>
        <w:tc>
          <w:tcPr>
            <w:tcW w:w="992" w:type="pct"/>
            <w:vAlign w:val="center"/>
          </w:tcPr>
          <w:p>
            <w:pPr>
              <w:keepNext/>
              <w:jc w:val="center"/>
            </w:pPr>
            <w:r>
              <w:t xml:space="preserve">22</w:t>
            </w:r>
          </w:p>
          <w:p>
            <w:pPr>
              <w:keepNext/>
              <w:jc w:val="center"/>
            </w:pPr>
            <w:r>
              <w:t xml:space="preserve">21, 31</w:t>
            </w:r>
          </w:p>
        </w:tc>
        <w:tc>
          <w:tcPr>
            <w:tcW w:w="1346" w:type="pct"/>
            <w:vAlign w:val="center"/>
          </w:tcPr>
          <w:p>
            <w:pPr>
              <w:keepNext/>
              <w:jc w:val="center"/>
            </w:pPr>
            <w:r>
              <w:t xml:space="preserve">27411</w:t>
            </w:r>
          </w:p>
          <w:p>
            <w:pPr>
              <w:keepNext/>
              <w:jc w:val="center"/>
            </w:pPr>
            <w:r>
              <w:t xml:space="preserve">27611</w:t>
            </w:r>
          </w:p>
        </w:tc>
        <w:tc>
          <w:tcPr>
            <w:tcW w:w="1028" w:type="pct"/>
            <w:vAlign w:val="center"/>
          </w:tcPr>
          <w:p>
            <w:pPr>
              <w:keepNext/>
              <w:jc w:val="right"/>
            </w:pPr>
            <w:r>
              <w:t xml:space="preserve">4.445.843,91</w:t>
            </w:r>
          </w:p>
          <w:p>
            <w:pPr>
              <w:keepNext/>
              <w:jc w:val="right"/>
            </w:pPr>
            <w:r>
              <w:t xml:space="preserve">   1,41</w:t>
            </w:r>
          </w:p>
        </w:tc>
        <w:tc>
          <w:tcPr>
            <w:tcW w:w="1053" w:type="pct"/>
            <w:vAlign w:val="center"/>
          </w:tcPr>
          <w:p>
            <w:pPr>
              <w:keepNext/>
              <w:jc w:val="right"/>
            </w:pPr>
            <w:r>
              <w:t xml:space="preserve">4.445.845,32</w:t>
            </w:r>
          </w:p>
        </w:tc>
      </w:tr>
      <w:tr>
        <w:trPr>
          <w:trHeight w:val="1598" w:hRule="atLeast"/>
        </w:trPr>
        <w:tc>
          <w:tcPr>
            <w:tcW w:w="579" w:type="pct"/>
            <w:vAlign w:val="center"/>
          </w:tcPr>
          <w:p>
            <w:r>
              <w:t xml:space="preserve">V005</w:t>
            </w:r>
          </w:p>
        </w:tc>
        <w:tc>
          <w:tcPr>
            <w:tcW w:w="992" w:type="pct"/>
            <w:vAlign w:val="center"/>
          </w:tcPr>
          <w:p>
            <w:pPr>
              <w:keepNext/>
              <w:jc w:val="center"/>
            </w:pPr>
            <w:r>
              <w:t xml:space="preserve">22</w:t>
            </w:r>
          </w:p>
          <w:p>
            <w:pPr>
              <w:keepNext/>
              <w:jc w:val="center"/>
            </w:pPr>
            <w:r>
              <w:t xml:space="preserve">21, 31</w:t>
            </w:r>
          </w:p>
        </w:tc>
        <w:tc>
          <w:tcPr>
            <w:tcW w:w="1346" w:type="pct"/>
            <w:vAlign w:val="center"/>
          </w:tcPr>
          <w:p>
            <w:pPr>
              <w:keepNext/>
              <w:jc w:val="center"/>
            </w:pPr>
            <w:r>
              <w:t xml:space="preserve">27411</w:t>
            </w:r>
          </w:p>
          <w:p>
            <w:pPr>
              <w:keepNext/>
              <w:jc w:val="center"/>
            </w:pPr>
            <w:r>
              <w:t xml:space="preserve">27611</w:t>
            </w:r>
          </w:p>
        </w:tc>
        <w:tc>
          <w:tcPr>
            <w:tcW w:w="1028" w:type="pct"/>
            <w:vAlign w:val="center"/>
          </w:tcPr>
          <w:p>
            <w:pPr>
              <w:keepNext/>
              <w:jc w:val="right"/>
            </w:pPr>
            <w:r>
              <w:t xml:space="preserve">2.685.013,63</w:t>
            </w:r>
          </w:p>
          <w:p>
            <w:pPr>
              <w:keepNext/>
              <w:jc w:val="right"/>
            </w:pPr>
            <w:r>
              <w:t xml:space="preserve">5.426,32  </w:t>
            </w:r>
          </w:p>
        </w:tc>
        <w:tc>
          <w:tcPr>
            <w:tcW w:w="1053" w:type="pct"/>
            <w:vAlign w:val="center"/>
          </w:tcPr>
          <w:p>
            <w:pPr>
              <w:keepNext/>
              <w:jc w:val="right"/>
            </w:pPr>
            <w:r>
              <w:t xml:space="preserve">2.690.439,95</w:t>
            </w:r>
          </w:p>
        </w:tc>
      </w:tr>
      <w:tr>
        <w:trPr>
          <w:trHeight w:val="1598" w:hRule="atLeast"/>
        </w:trPr>
        <w:tc>
          <w:tcPr>
            <w:tcW w:w="579" w:type="pct"/>
            <w:vAlign w:val="center"/>
          </w:tcPr>
          <w:p>
            <w:r>
              <w:t xml:space="preserve">V010</w:t>
            </w:r>
          </w:p>
        </w:tc>
        <w:tc>
          <w:tcPr>
            <w:tcW w:w="992" w:type="pct"/>
            <w:vAlign w:val="center"/>
          </w:tcPr>
          <w:p>
            <w:pPr>
              <w:keepNext/>
              <w:jc w:val="center"/>
            </w:pPr>
            <w:r>
              <w:t xml:space="preserve">22</w:t>
            </w:r>
          </w:p>
          <w:p>
            <w:pPr>
              <w:keepNext/>
              <w:jc w:val="center"/>
            </w:pPr>
            <w:r>
              <w:t xml:space="preserve">21, 31</w:t>
            </w:r>
          </w:p>
        </w:tc>
        <w:tc>
          <w:tcPr>
            <w:tcW w:w="1346" w:type="pct"/>
            <w:vAlign w:val="center"/>
          </w:tcPr>
          <w:p>
            <w:pPr>
              <w:keepNext/>
              <w:jc w:val="center"/>
            </w:pPr>
            <w:r>
              <w:t xml:space="preserve">27411</w:t>
            </w:r>
          </w:p>
          <w:p>
            <w:pPr>
              <w:keepNext/>
              <w:jc w:val="center"/>
            </w:pPr>
            <w:r>
              <w:t xml:space="preserve">27611</w:t>
            </w:r>
          </w:p>
        </w:tc>
        <w:tc>
          <w:tcPr>
            <w:tcW w:w="1028" w:type="pct"/>
            <w:vAlign w:val="center"/>
          </w:tcPr>
          <w:p>
            <w:pPr>
              <w:keepNext/>
              <w:jc w:val="right"/>
            </w:pPr>
            <w:r>
              <w:t xml:space="preserve">1.842.136,40</w:t>
            </w:r>
          </w:p>
          <w:p>
            <w:pPr>
              <w:keepNext/>
              <w:jc w:val="right"/>
            </w:pPr>
            <w:r>
              <w:t xml:space="preserve">1,41</w:t>
            </w:r>
          </w:p>
        </w:tc>
        <w:tc>
          <w:tcPr>
            <w:tcW w:w="1053" w:type="pct"/>
            <w:vAlign w:val="center"/>
          </w:tcPr>
          <w:p>
            <w:pPr>
              <w:keepNext/>
              <w:jc w:val="right"/>
            </w:pPr>
            <w:r>
              <w:t xml:space="preserve">1.842.137,81</w:t>
            </w:r>
          </w:p>
        </w:tc>
      </w:tr>
    </w:tbl>
    <w:p>
      <w:r>
        <w:t xml:space="preserve">  </w:t>
      </w:r>
    </w:p>
    <w:tbl>
      <w:tblPr>
        <w:tblStyle w:val="TableGrid"/>
        <w:tblW w:w="5000" w:type="pct"/>
      </w:tblPr>
      <w:tblGrid>
        <w:gridCol w:w="4811"/>
        <w:gridCol w:w="4811"/>
      </w:tblGrid>
      <w:tr>
        <w:trPr>
          <w:trHeight w:val="542" w:hRule="atLeast"/>
        </w:trPr>
        <w:tc>
          <w:tcPr>
            <w:tcW w:w="2500" w:type="pct"/>
            <w:gridSpan w:val="2"/>
            <w:vAlign w:val="center"/>
          </w:tcPr>
          <w:p>
            <w:pPr>
              <w:keepNext/>
              <w:jc w:val="center"/>
            </w:pPr>
            <w:r>
              <w:rPr>
                <w:b/>
              </w:rPr>
              <w:t xml:space="preserve">Eliminacija obrazac P-VRIO</w:t>
            </w:r>
          </w:p>
        </w:tc>
      </w:tr>
      <w:tr>
        <w:trPr>
          <w:trHeight w:val="542" w:hRule="atLeast"/>
        </w:trPr>
        <w:tc>
          <w:tcPr>
            <w:tcW w:w="2500" w:type="pct"/>
            <w:vAlign w:val="center"/>
          </w:tcPr>
          <w:p>
            <w:r>
              <w:t xml:space="preserve">RAZINA 21, 31 POVEĆANJE</w:t>
            </w:r>
          </w:p>
        </w:tc>
        <w:tc>
          <w:tcPr>
            <w:tcW w:w="2500" w:type="pct"/>
            <w:vAlign w:val="center"/>
          </w:tcPr>
          <w:p>
            <w:r>
              <w:t xml:space="preserve">RAZINA 22 SMANJENJE</w:t>
            </w:r>
          </w:p>
        </w:tc>
      </w:tr>
      <w:tr>
        <w:trPr>
          <w:trHeight w:val="542" w:hRule="atLeast"/>
        </w:trPr>
        <w:tc>
          <w:tcPr>
            <w:tcW w:w="2500" w:type="pct"/>
            <w:vAlign w:val="center"/>
          </w:tcPr>
          <w:p>
            <w:r>
              <w:t xml:space="preserve">P003 = 189.421,50</w:t>
            </w:r>
          </w:p>
        </w:tc>
        <w:tc>
          <w:tcPr>
            <w:tcW w:w="2500" w:type="pct"/>
            <w:vAlign w:val="center"/>
          </w:tcPr>
          <w:p>
            <w:r>
              <w:t xml:space="preserve">P021 = 1.289.115,70</w:t>
            </w:r>
          </w:p>
        </w:tc>
      </w:tr>
      <w:tr>
        <w:trPr>
          <w:trHeight w:val="542" w:hRule="atLeast"/>
        </w:trPr>
        <w:tc>
          <w:tcPr>
            <w:tcW w:w="2500" w:type="pct"/>
            <w:vAlign w:val="center"/>
          </w:tcPr>
          <w:p>
            <w:r>
              <w:t xml:space="preserve">P018 = 1.072.047,82</w:t>
            </w:r>
          </w:p>
        </w:tc>
        <w:tc>
          <w:tcPr>
            <w:tcW w:w="2500" w:type="pct"/>
            <w:vAlign w:val="center"/>
          </w:tcPr>
          <w:p>
            <w:r>
              <w:t xml:space="preserve"> </w:t>
            </w:r>
          </w:p>
        </w:tc>
      </w:tr>
      <w:tr>
        <w:trPr/>
        <w:tc>
          <w:tcPr>
            <w:tcW w:w="2500" w:type="pct"/>
            <w:vAlign w:val="center"/>
          </w:tcPr>
          <w:p>
            <w:r>
              <w:t xml:space="preserve">P020 = 27.646,38</w:t>
            </w:r>
          </w:p>
        </w:tc>
        <w:tc>
          <w:tcPr>
            <w:tcW w:w="2500" w:type="pct"/>
            <w:vAlign w:val="center"/>
          </w:tcPr>
          <w:p>
            <w:r>
              <w:t xml:space="preserve"> </w:t>
            </w:r>
          </w:p>
        </w:tc>
      </w:tr>
      <w:tr>
        <w:trPr/>
        <w:tc>
          <w:tcPr>
            <w:tcW w:w="2500" w:type="pct"/>
            <w:gridSpan w:val="2"/>
            <w:vAlign w:val="center"/>
          </w:tcPr>
          <w:p>
            <w:r>
              <w:t xml:space="preserve">Eliminacija se odnosi na prijenose dugotrajne nefinancijske imovine između Krapinsko-zagorske županije i korisnika iz nadležnosti. Krapinsko-zagorska županija financirala je rekonstrukciju sustava grijanja u OŠ Konjščina (92.865,60 eur), DZ KZŽ energetske obnove ambulante Novi Golubovec (109.099,43 eur) i Pregrada (80.322,07 eur), rekonstrukciju i opremanje OŠ Mače za cjelodnevnu nastavu (320.284,07 eur), sanaciju sportske dvorane OŠ Tuhelj (371.230,52 eur) i uređenje školskog igrališta OŠ Sveti Križ Začretje (315.314,01 eur).</w:t>
            </w:r>
          </w:p>
        </w:tc>
      </w:tr>
    </w:tbl>
    <w:p/>
    <w:tbl>
      <w:tblPr>
        <w:tblStyle w:val="TableGrid"/>
        <w:tblW w:w="5000" w:type="pct"/>
      </w:tblPr>
      <w:tblGrid>
        <w:gridCol w:w="4811"/>
        <w:gridCol w:w="4811"/>
      </w:tblGrid>
      <w:tr>
        <w:trPr>
          <w:trHeight w:val="542" w:hRule="atLeast"/>
        </w:trPr>
        <w:tc>
          <w:tcPr>
            <w:tcW w:w="2500" w:type="pct"/>
            <w:gridSpan w:val="2"/>
            <w:vAlign w:val="center"/>
          </w:tcPr>
          <w:p>
            <w:pPr>
              <w:keepNext/>
              <w:jc w:val="center"/>
            </w:pPr>
            <w:r>
              <w:rPr>
                <w:b/>
              </w:rPr>
              <w:t xml:space="preserve">Eliminacija obrazac RAS-funkcijski 369/639</w:t>
            </w:r>
          </w:p>
        </w:tc>
      </w:tr>
      <w:tr>
        <w:trPr>
          <w:trHeight w:val="542" w:hRule="atLeast"/>
        </w:trPr>
        <w:tc>
          <w:tcPr>
            <w:tcW w:w="2500" w:type="pct"/>
            <w:vAlign w:val="center"/>
          </w:tcPr>
          <w:p>
            <w:r>
              <w:t xml:space="preserve">Prethodna godina</w:t>
            </w:r>
          </w:p>
        </w:tc>
        <w:tc>
          <w:tcPr>
            <w:tcW w:w="2500" w:type="pct"/>
            <w:vAlign w:val="center"/>
          </w:tcPr>
          <w:p>
            <w:r>
              <w:t xml:space="preserve">Tekuća godina</w:t>
            </w:r>
          </w:p>
        </w:tc>
      </w:tr>
      <w:tr>
        <w:trPr>
          <w:trHeight w:val="542" w:hRule="atLeast"/>
        </w:trPr>
        <w:tc>
          <w:tcPr>
            <w:tcW w:w="2500" w:type="pct"/>
            <w:vAlign w:val="center"/>
          </w:tcPr>
          <w:p>
            <w:r>
              <w:t xml:space="preserve">šifra 109 = 19.561,16</w:t>
            </w:r>
          </w:p>
        </w:tc>
        <w:tc>
          <w:tcPr>
            <w:tcW w:w="2500" w:type="pct"/>
            <w:vAlign w:val="center"/>
          </w:tcPr>
          <w:p>
            <w:r>
              <w:t xml:space="preserve">šifra 073 = 211.251,06</w:t>
            </w:r>
          </w:p>
        </w:tc>
      </w:tr>
      <w:tr>
        <w:trPr>
          <w:trHeight w:val="542" w:hRule="atLeast"/>
        </w:trPr>
        <w:tc>
          <w:tcPr>
            <w:tcW w:w="2500" w:type="pct"/>
            <w:vAlign w:val="center"/>
          </w:tcPr>
          <w:p>
            <w:r>
              <w:t xml:space="preserve">šifra 076 = 63.306,04</w:t>
            </w:r>
          </w:p>
        </w:tc>
        <w:tc>
          <w:tcPr>
            <w:tcW w:w="2500" w:type="pct"/>
            <w:vAlign w:val="center"/>
          </w:tcPr>
          <w:p>
            <w:r>
              <w:t xml:space="preserve">šifra 091 = 245,00</w:t>
            </w:r>
          </w:p>
        </w:tc>
      </w:tr>
      <w:tr>
        <w:trPr>
          <w:trHeight w:val="542" w:hRule="atLeast"/>
        </w:trPr>
        <w:tc>
          <w:tcPr>
            <w:tcW w:w="2500" w:type="pct"/>
            <w:vAlign w:val="center"/>
          </w:tcPr>
          <w:p>
            <w:r>
              <w:t xml:space="preserve">šifra 086 = 2.388,50</w:t>
            </w:r>
          </w:p>
        </w:tc>
        <w:tc>
          <w:tcPr>
            <w:tcW w:w="2500" w:type="pct"/>
            <w:vAlign w:val="center"/>
          </w:tcPr>
          <w:p>
            <w:r>
              <w:t xml:space="preserve"> </w:t>
            </w:r>
          </w:p>
        </w:tc>
      </w:tr>
      <w:tr>
        <w:trPr>
          <w:trHeight w:val="542" w:hRule="atLeast"/>
        </w:trPr>
        <w:tc>
          <w:tcPr>
            <w:tcW w:w="2500" w:type="pct"/>
            <w:vAlign w:val="center"/>
          </w:tcPr>
          <w:p>
            <w:r>
              <w:t xml:space="preserve">šifra 091 = 33.062,96</w:t>
            </w:r>
          </w:p>
        </w:tc>
        <w:tc>
          <w:tcPr>
            <w:tcW w:w="2500" w:type="pct"/>
            <w:vAlign w:val="center"/>
          </w:tcPr>
          <w:p>
            <w:r>
              <w:t xml:space="preserve"> </w:t>
            </w:r>
          </w:p>
        </w:tc>
      </w:tr>
      <w:tr>
        <w:trPr>
          <w:trHeight w:val="542" w:hRule="atLeast"/>
        </w:trPr>
        <w:tc>
          <w:tcPr>
            <w:tcW w:w="2500" w:type="pct"/>
            <w:vAlign w:val="center"/>
          </w:tcPr>
          <w:p>
            <w:r>
              <w:t xml:space="preserve">šifra 092 = 3.558.139,75</w:t>
            </w:r>
          </w:p>
        </w:tc>
        <w:tc>
          <w:tcPr>
            <w:tcW w:w="2500" w:type="pct"/>
            <w:vAlign w:val="center"/>
          </w:tcPr>
          <w:p>
            <w:r>
              <w:t xml:space="preserve"> </w:t>
            </w:r>
          </w:p>
        </w:tc>
      </w:tr>
      <w:tr>
        <w:trPr/>
        <w:tc>
          <w:tcPr>
            <w:tcW w:w="2500" w:type="pct"/>
            <w:vAlign w:val="center"/>
          </w:tcPr>
          <w:p>
            <w:r>
              <w:t xml:space="preserve">šifra 073 = 3.184.338,80</w:t>
            </w:r>
          </w:p>
        </w:tc>
        <w:tc>
          <w:tcPr>
            <w:tcW w:w="2500" w:type="pct"/>
            <w:vAlign w:val="center"/>
          </w:tcPr>
          <w:p>
            <w:r>
              <w:t xml:space="preserve"> </w:t>
            </w:r>
          </w:p>
        </w:tc>
      </w:tr>
      <w:tr>
        <w:trPr/>
        <w:tc>
          <w:tcPr>
            <w:tcW w:w="2500" w:type="pct"/>
            <w:vAlign w:val="center"/>
          </w:tcPr>
          <w:p>
            <w:r>
              <w:t xml:space="preserve">šifra 049 = 336.170,97</w:t>
            </w:r>
          </w:p>
        </w:tc>
        <w:tc>
          <w:tcPr>
            <w:tcW w:w="2500" w:type="pct"/>
            <w:vAlign w:val="center"/>
          </w:tcPr>
          <w:p>
            <w:r>
              <w:t xml:space="preserve"> </w:t>
            </w:r>
          </w:p>
        </w:tc>
      </w:tr>
      <w:tr>
        <w:trPr/>
        <w:tc>
          <w:tcPr>
            <w:tcW w:w="2500" w:type="pct"/>
            <w:vAlign w:val="center"/>
          </w:tcPr>
          <w:p>
            <w:r>
              <w:t xml:space="preserve">Ukupno = 7.196.968,18</w:t>
            </w:r>
          </w:p>
        </w:tc>
        <w:tc>
          <w:tcPr>
            <w:tcW w:w="2500" w:type="pct"/>
            <w:vAlign w:val="center"/>
          </w:tcPr>
          <w:p>
            <w:r>
              <w:t xml:space="preserve">Ukupno = 211.496,06</w:t>
            </w:r>
          </w:p>
        </w:tc>
      </w:tr>
      <w:tr>
        <w:trPr/>
        <w:tc>
          <w:tcPr>
            <w:tcW w:w="2500" w:type="pct"/>
            <w:gridSpan w:val="2"/>
            <w:vAlign w:val="center"/>
          </w:tcPr>
          <w:p>
            <w:r>
              <w:t xml:space="preserve">Eliminacija konto 369/639 prijenosi između proračunskih korisnika istog proračuna - prethodna godina u iznosu 7.196.968,18 eur i tekuća godina u iznosu od 211.496,06. Prijenosi tekuće godine odnose se na prijenos između SB Krapinske Toplice i KZŽ te OŠ Gornja Stubica i OŠ Sveti Križ Začretje.</w:t>
            </w:r>
          </w:p>
        </w:tc>
      </w:tr>
    </w:tbl>
    <w:p>
      <w:r>
        <w:t xml:space="preserve"> </w:t>
      </w:r>
    </w:p>
    <w:tbl>
      <w:tblPr>
        <w:tblStyle w:val="TableGrid"/>
        <w:tblW w:w="5000" w:type="pct"/>
      </w:tblPr>
      <w:tblGrid>
        <w:gridCol w:w="1195"/>
        <w:gridCol w:w="1250"/>
        <w:gridCol w:w="1533"/>
        <w:gridCol w:w="2445"/>
        <w:gridCol w:w="1606"/>
        <w:gridCol w:w="1597"/>
      </w:tblGrid>
      <w:tr>
        <w:trPr/>
        <w:tc>
          <w:tcPr>
            <w:tcW w:w="620" w:type="pct"/>
            <w:gridSpan w:val="6"/>
            <w:vAlign w:val="center"/>
          </w:tcPr>
          <w:p>
            <w:pPr>
              <w:keepNext/>
              <w:jc w:val="center"/>
            </w:pPr>
            <w:r>
              <w:rPr>
                <w:b/>
              </w:rPr>
              <w:t xml:space="preserve">Eliminacija obrazac Bilanca</w:t>
            </w:r>
          </w:p>
        </w:tc>
      </w:tr>
      <w:tr>
        <w:trPr/>
        <w:tc>
          <w:tcPr>
            <w:tcW w:w="620" w:type="pct"/>
            <w:vAlign w:val="center"/>
          </w:tcPr>
          <w:p>
            <w:pPr>
              <w:keepNext/>
              <w:jc w:val="center"/>
            </w:pPr>
            <w:r>
              <w:t xml:space="preserve">RAZINA 22</w:t>
            </w:r>
          </w:p>
        </w:tc>
        <w:tc>
          <w:tcPr>
            <w:tcW w:w="649" w:type="pct"/>
            <w:vAlign w:val="center"/>
          </w:tcPr>
          <w:p>
            <w:pPr>
              <w:keepNext/>
              <w:jc w:val="center"/>
            </w:pPr>
            <w:r>
              <w:t xml:space="preserve">RAČUN</w:t>
            </w:r>
          </w:p>
        </w:tc>
        <w:tc>
          <w:tcPr>
            <w:tcW w:w="796" w:type="pct"/>
            <w:vAlign w:val="center"/>
          </w:tcPr>
          <w:p>
            <w:pPr>
              <w:keepNext/>
              <w:jc w:val="center"/>
            </w:pPr>
            <w:r>
              <w:t xml:space="preserve">IZNOS</w:t>
            </w:r>
          </w:p>
        </w:tc>
        <w:tc>
          <w:tcPr>
            <w:tcW w:w="1270" w:type="pct"/>
            <w:vAlign w:val="center"/>
          </w:tcPr>
          <w:p>
            <w:pPr>
              <w:keepNext/>
              <w:jc w:val="center"/>
            </w:pPr>
            <w:r>
              <w:t xml:space="preserve"> </w:t>
            </w:r>
          </w:p>
        </w:tc>
        <w:tc>
          <w:tcPr>
            <w:tcW w:w="834" w:type="pct"/>
            <w:vAlign w:val="center"/>
          </w:tcPr>
          <w:p>
            <w:pPr>
              <w:keepNext/>
              <w:jc w:val="center"/>
            </w:pPr>
            <w:r>
              <w:t xml:space="preserve">RAZINA 21</w:t>
            </w:r>
          </w:p>
          <w:p>
            <w:pPr>
              <w:keepNext/>
              <w:jc w:val="center"/>
            </w:pPr>
            <w:r>
              <w:t xml:space="preserve">RAZINA 31</w:t>
            </w:r>
          </w:p>
        </w:tc>
        <w:tc>
          <w:tcPr>
            <w:tcW w:w="829" w:type="pct"/>
            <w:vAlign w:val="center"/>
          </w:tcPr>
          <w:p>
            <w:pPr>
              <w:keepNext/>
              <w:jc w:val="center"/>
            </w:pPr>
            <w:r>
              <w:t xml:space="preserve">RAČUN</w:t>
            </w:r>
          </w:p>
        </w:tc>
      </w:tr>
      <w:tr>
        <w:trPr/>
        <w:tc>
          <w:tcPr>
            <w:tcW w:w="620" w:type="pct"/>
            <w:vAlign w:val="center"/>
          </w:tcPr>
          <w:p>
            <w:pPr>
              <w:keepNext/>
              <w:jc w:val="center"/>
            </w:pPr>
            <w:r>
              <w:t xml:space="preserve">šifra 129</w:t>
            </w:r>
          </w:p>
        </w:tc>
        <w:tc>
          <w:tcPr>
            <w:tcW w:w="649" w:type="pct"/>
            <w:vAlign w:val="center"/>
          </w:tcPr>
          <w:p>
            <w:pPr>
              <w:keepNext/>
              <w:jc w:val="center"/>
            </w:pPr>
            <w:r>
              <w:t xml:space="preserve">12941</w:t>
            </w:r>
          </w:p>
        </w:tc>
        <w:tc>
          <w:tcPr>
            <w:tcW w:w="796" w:type="pct"/>
            <w:vAlign w:val="center"/>
          </w:tcPr>
          <w:p>
            <w:pPr>
              <w:keepNext/>
              <w:jc w:val="center"/>
            </w:pPr>
            <w:r>
              <w:t xml:space="preserve">5.426,32</w:t>
            </w:r>
          </w:p>
          <w:p>
            <w:pPr>
              <w:keepNext/>
              <w:jc w:val="center"/>
            </w:pPr>
            <w:r>
              <w:t xml:space="preserve">       1,41</w:t>
            </w:r>
          </w:p>
        </w:tc>
        <w:tc>
          <w:tcPr>
            <w:tcW w:w="1270" w:type="pct"/>
            <w:vAlign w:val="center"/>
          </w:tcPr>
          <w:p>
            <w:pPr>
              <w:keepNext/>
              <w:jc w:val="center"/>
            </w:pPr>
            <w:r>
              <w:t xml:space="preserve">stanje 1. siječnja 2025.</w:t>
            </w:r>
          </w:p>
          <w:p>
            <w:pPr>
              <w:keepNext/>
              <w:jc w:val="center"/>
            </w:pPr>
            <w:r>
              <w:t xml:space="preserve">stanje 31. prosinca 2025.</w:t>
            </w:r>
          </w:p>
        </w:tc>
        <w:tc>
          <w:tcPr>
            <w:tcW w:w="834" w:type="pct"/>
            <w:vAlign w:val="center"/>
          </w:tcPr>
          <w:p>
            <w:pPr>
              <w:keepNext/>
              <w:jc w:val="center"/>
            </w:pPr>
            <w:r>
              <w:t xml:space="preserve">šifra 27</w:t>
            </w:r>
          </w:p>
        </w:tc>
        <w:tc>
          <w:tcPr>
            <w:tcW w:w="829" w:type="pct"/>
            <w:vAlign w:val="center"/>
          </w:tcPr>
          <w:p>
            <w:pPr>
              <w:keepNext/>
              <w:jc w:val="center"/>
            </w:pPr>
            <w:r>
              <w:t xml:space="preserve">27411</w:t>
            </w:r>
          </w:p>
          <w:p>
            <w:pPr>
              <w:keepNext/>
              <w:jc w:val="center"/>
            </w:pPr>
            <w:r>
              <w:t xml:space="preserve">27611</w:t>
            </w:r>
          </w:p>
        </w:tc>
      </w:tr>
      <w:tr>
        <w:trPr/>
        <w:tc>
          <w:tcPr>
            <w:tcW w:w="620" w:type="pct"/>
            <w:vAlign w:val="center"/>
          </w:tcPr>
          <w:p>
            <w:pPr>
              <w:keepNext/>
              <w:jc w:val="center"/>
            </w:pPr>
            <w:r>
              <w:t xml:space="preserve">šifra 27</w:t>
            </w:r>
          </w:p>
        </w:tc>
        <w:tc>
          <w:tcPr>
            <w:tcW w:w="649" w:type="pct"/>
            <w:vAlign w:val="center"/>
          </w:tcPr>
          <w:p>
            <w:pPr>
              <w:keepNext/>
              <w:jc w:val="center"/>
            </w:pPr>
            <w:r>
              <w:t xml:space="preserve"> </w:t>
            </w:r>
          </w:p>
          <w:p>
            <w:pPr>
              <w:keepNext/>
              <w:jc w:val="center"/>
            </w:pPr>
            <w:r>
              <w:t xml:space="preserve">27411</w:t>
            </w:r>
          </w:p>
          <w:p>
            <w:pPr>
              <w:keepNext/>
              <w:jc w:val="center"/>
            </w:pPr>
            <w:r>
              <w:t xml:space="preserve"> </w:t>
            </w:r>
          </w:p>
        </w:tc>
        <w:tc>
          <w:tcPr>
            <w:tcW w:w="796" w:type="pct"/>
            <w:vAlign w:val="center"/>
          </w:tcPr>
          <w:p>
            <w:pPr>
              <w:keepNext/>
              <w:jc w:val="center"/>
            </w:pPr>
            <w:r>
              <w:t xml:space="preserve">81.306,12</w:t>
            </w:r>
          </w:p>
          <w:p>
            <w:pPr>
              <w:keepNext/>
              <w:jc w:val="center"/>
            </w:pPr>
            <w:r>
              <w:t xml:space="preserve">1.842.136,40</w:t>
            </w:r>
          </w:p>
        </w:tc>
        <w:tc>
          <w:tcPr>
            <w:tcW w:w="1270" w:type="pct"/>
            <w:vAlign w:val="center"/>
          </w:tcPr>
          <w:p>
            <w:pPr>
              <w:keepNext/>
              <w:jc w:val="center"/>
            </w:pPr>
            <w:r>
              <w:t xml:space="preserve">stanje 1. siječnja 2025.</w:t>
            </w:r>
          </w:p>
          <w:p>
            <w:pPr>
              <w:keepNext/>
              <w:jc w:val="center"/>
            </w:pPr>
            <w:r>
              <w:t xml:space="preserve">stanje 31. prosinca 2025.</w:t>
            </w:r>
          </w:p>
        </w:tc>
        <w:tc>
          <w:tcPr>
            <w:tcW w:w="834" w:type="pct"/>
            <w:vAlign w:val="center"/>
          </w:tcPr>
          <w:p>
            <w:pPr>
              <w:keepNext/>
              <w:jc w:val="center"/>
            </w:pPr>
            <w:r>
              <w:t xml:space="preserve">šifra 167</w:t>
            </w:r>
          </w:p>
        </w:tc>
        <w:tc>
          <w:tcPr>
            <w:tcW w:w="829" w:type="pct"/>
            <w:vAlign w:val="center"/>
          </w:tcPr>
          <w:p>
            <w:pPr>
              <w:keepNext/>
              <w:jc w:val="center"/>
            </w:pPr>
            <w:r>
              <w:t xml:space="preserve">167210</w:t>
            </w:r>
          </w:p>
        </w:tc>
      </w:tr>
    </w:tbl>
    <w:p>
      <w:r>
        <w:t xml:space="preserve"> </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dabc586431ac4125" /></Relationships>
</file>